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2943"/>
        <w:gridCol w:w="7371"/>
      </w:tblGrid>
      <w:tr w:rsidR="00D938C7" w:rsidTr="00A74D98">
        <w:tc>
          <w:tcPr>
            <w:tcW w:w="10314" w:type="dxa"/>
            <w:gridSpan w:val="2"/>
            <w:shd w:val="clear" w:color="auto" w:fill="C2D69B" w:themeFill="accent3" w:themeFillTint="99"/>
          </w:tcPr>
          <w:p w:rsidR="00D938C7" w:rsidRPr="00C0669A" w:rsidRDefault="004A54E7" w:rsidP="00B43FE8">
            <w:pPr>
              <w:jc w:val="center"/>
              <w:rPr>
                <w:b/>
              </w:rPr>
            </w:pPr>
            <w:bookmarkStart w:id="0" w:name="_GoBack"/>
            <w:bookmarkEnd w:id="0"/>
            <w:r>
              <w:rPr>
                <w:b/>
                <w:sz w:val="24"/>
              </w:rPr>
              <w:t xml:space="preserve">Решение о выпуске </w:t>
            </w:r>
            <w:r w:rsidR="00F12AA8">
              <w:rPr>
                <w:b/>
                <w:sz w:val="24"/>
              </w:rPr>
              <w:t xml:space="preserve"> цифровых финансовых активов </w:t>
            </w:r>
            <w:r w:rsidR="00B43FE8" w:rsidRPr="00B43FE8">
              <w:rPr>
                <w:b/>
                <w:color w:val="000000" w:themeColor="text1"/>
              </w:rPr>
              <w:t>МКАО «Спитзмар Лимитед»</w:t>
            </w:r>
          </w:p>
        </w:tc>
      </w:tr>
      <w:tr w:rsidR="00C0669A" w:rsidTr="00A74D98">
        <w:tc>
          <w:tcPr>
            <w:tcW w:w="10314" w:type="dxa"/>
            <w:gridSpan w:val="2"/>
            <w:shd w:val="clear" w:color="auto" w:fill="C2D69B" w:themeFill="accent3" w:themeFillTint="99"/>
          </w:tcPr>
          <w:p w:rsidR="00C0669A" w:rsidRPr="00C0669A" w:rsidRDefault="00C0669A" w:rsidP="00C0669A">
            <w:pPr>
              <w:jc w:val="both"/>
              <w:rPr>
                <w:b/>
              </w:rPr>
            </w:pPr>
            <w:r w:rsidRPr="00C0669A">
              <w:rPr>
                <w:b/>
              </w:rPr>
              <w:t>Общая информация</w:t>
            </w:r>
          </w:p>
        </w:tc>
      </w:tr>
      <w:tr w:rsidR="00023A0B" w:rsidTr="00A74D98">
        <w:tc>
          <w:tcPr>
            <w:tcW w:w="10314" w:type="dxa"/>
            <w:gridSpan w:val="2"/>
            <w:shd w:val="clear" w:color="auto" w:fill="FFFFFF" w:themeFill="background1"/>
          </w:tcPr>
          <w:p w:rsidR="00C3475A" w:rsidRDefault="00C3475A" w:rsidP="00C3475A">
            <w:pPr>
              <w:pStyle w:val="a4"/>
              <w:ind w:left="142" w:firstLine="414"/>
              <w:jc w:val="both"/>
            </w:pPr>
            <w:r w:rsidRPr="00C3475A">
              <w:t>Настоящее решение о выпуске цифров</w:t>
            </w:r>
            <w:r>
              <w:t xml:space="preserve">ых финансовых активов (далее – </w:t>
            </w:r>
            <w:r w:rsidRPr="001859F3">
              <w:rPr>
                <w:b/>
              </w:rPr>
              <w:t>Решение о выпуске, ЦФА</w:t>
            </w:r>
            <w:r w:rsidRPr="00C3475A">
              <w:t>) принято в соответствии с Федеральным законом от 31.07.2020 № 259-ФЗ «О цифровых</w:t>
            </w:r>
            <w:r>
              <w:t xml:space="preserve"> </w:t>
            </w:r>
            <w:r w:rsidRPr="00C3475A">
              <w:t>финансовых активах, цифровой валюте и о внесении изменений в отдельные законодательные акты</w:t>
            </w:r>
            <w:r>
              <w:t xml:space="preserve"> </w:t>
            </w:r>
            <w:r w:rsidRPr="00C3475A">
              <w:t xml:space="preserve">Российской Федерации» (далее – </w:t>
            </w:r>
            <w:r w:rsidRPr="001859F3">
              <w:rPr>
                <w:b/>
              </w:rPr>
              <w:t>Закон о ЦФА</w:t>
            </w:r>
            <w:r w:rsidRPr="00C3475A">
              <w:t>) и является предложением указанного ниже лица</w:t>
            </w:r>
            <w:r>
              <w:t xml:space="preserve"> </w:t>
            </w:r>
            <w:r w:rsidR="002A50CB">
              <w:t xml:space="preserve">(далее – </w:t>
            </w:r>
            <w:r w:rsidR="002A50CB" w:rsidRPr="001859F3">
              <w:rPr>
                <w:b/>
              </w:rPr>
              <w:t>Эмитент</w:t>
            </w:r>
            <w:r w:rsidRPr="001859F3">
              <w:rPr>
                <w:b/>
              </w:rPr>
              <w:t>)</w:t>
            </w:r>
            <w:r w:rsidRPr="00C3475A">
              <w:t xml:space="preserve"> приобрести выпускаемые им цифровые финансовые активы на условиях,</w:t>
            </w:r>
            <w:r>
              <w:t xml:space="preserve"> </w:t>
            </w:r>
            <w:r w:rsidRPr="00C3475A">
              <w:t>пред</w:t>
            </w:r>
            <w:r>
              <w:t>усмотренных Решением о выпуске.</w:t>
            </w:r>
          </w:p>
          <w:p w:rsidR="00C3475A" w:rsidRPr="00C3475A" w:rsidRDefault="00C3475A" w:rsidP="00C3475A">
            <w:pPr>
              <w:pStyle w:val="a4"/>
              <w:ind w:left="142" w:firstLine="414"/>
              <w:jc w:val="both"/>
              <w:rPr>
                <w:b/>
              </w:rPr>
            </w:pPr>
            <w:r w:rsidRPr="00C3475A">
              <w:rPr>
                <w:b/>
              </w:rPr>
              <w:t>Термины и определения</w:t>
            </w:r>
          </w:p>
          <w:p w:rsidR="00C3475A" w:rsidRDefault="00C3475A" w:rsidP="00C3475A">
            <w:pPr>
              <w:pStyle w:val="a4"/>
              <w:ind w:left="142" w:firstLine="414"/>
              <w:jc w:val="both"/>
            </w:pPr>
            <w:r w:rsidRPr="00C3475A">
              <w:rPr>
                <w:b/>
              </w:rPr>
              <w:t xml:space="preserve">Оператор </w:t>
            </w:r>
            <w:r>
              <w:t xml:space="preserve">- оператор информационной системы Акционерное общество «Межрегиональный регистраторский центр» (ОГРН </w:t>
            </w:r>
            <w:r w:rsidRPr="00F12AA8">
              <w:t>1021900520883</w:t>
            </w:r>
            <w:r>
              <w:t>), включенное Банком России в реестр операторов информационных систем 12.12.2024г.</w:t>
            </w:r>
          </w:p>
          <w:p w:rsidR="00C3475A" w:rsidRDefault="00C3475A" w:rsidP="00C3475A">
            <w:pPr>
              <w:pStyle w:val="a4"/>
              <w:ind w:left="142" w:firstLine="414"/>
              <w:jc w:val="both"/>
            </w:pPr>
            <w:r w:rsidRPr="00C3475A">
              <w:rPr>
                <w:b/>
              </w:rPr>
              <w:t>Информационная</w:t>
            </w:r>
            <w:r>
              <w:rPr>
                <w:b/>
              </w:rPr>
              <w:t xml:space="preserve"> </w:t>
            </w:r>
            <w:r w:rsidRPr="00C3475A">
              <w:rPr>
                <w:b/>
              </w:rPr>
              <w:t>система</w:t>
            </w:r>
            <w:r>
              <w:rPr>
                <w:b/>
              </w:rPr>
              <w:t xml:space="preserve"> </w:t>
            </w:r>
            <w:r w:rsidR="00A1086D">
              <w:t>–</w:t>
            </w:r>
            <w:r>
              <w:t xml:space="preserve"> </w:t>
            </w:r>
            <w:r w:rsidR="00A1086D">
              <w:t xml:space="preserve">ИС АО «МРЦ», </w:t>
            </w:r>
            <w:r>
              <w:t xml:space="preserve">совокупность содержащейся в базе данных информации о выпуске, учете и обращении ЦФА и </w:t>
            </w:r>
            <w:r w:rsidR="00105BE0">
              <w:t xml:space="preserve">информационных технологий и технических средств, обеспечивающих ее обработку, </w:t>
            </w:r>
            <w:r>
              <w:t>в том числе на основе Распределенного реестра, эксплуатируемых Оператором.</w:t>
            </w:r>
          </w:p>
          <w:p w:rsidR="00C3475A" w:rsidRDefault="00C3475A" w:rsidP="00C3475A">
            <w:pPr>
              <w:pStyle w:val="a4"/>
              <w:ind w:left="142" w:firstLine="414"/>
              <w:jc w:val="both"/>
            </w:pPr>
            <w:r w:rsidRPr="00C3475A">
              <w:rPr>
                <w:b/>
              </w:rPr>
              <w:t>Правила</w:t>
            </w:r>
            <w:r>
              <w:t xml:space="preserve"> - правила </w:t>
            </w:r>
            <w:r w:rsidR="00A1086D">
              <w:t>ИС АО «МРЦ»</w:t>
            </w:r>
            <w:r>
              <w:t xml:space="preserve">, согласованные Банком России в порядке, предусмотренном законодательством Российской Федерации, и размещенные на сайте Оператора: </w:t>
            </w:r>
            <w:hyperlink r:id="rId6" w:history="1">
              <w:r w:rsidRPr="001D42C4">
                <w:rPr>
                  <w:rStyle w:val="a5"/>
                </w:rPr>
                <w:t>https://mrz.ru/company/raskrytie-informatsii-o-platforme-tsfa/</w:t>
              </w:r>
            </w:hyperlink>
          </w:p>
          <w:p w:rsidR="00E5461B" w:rsidRDefault="00E5461B" w:rsidP="00E5461B">
            <w:pPr>
              <w:pStyle w:val="a4"/>
              <w:ind w:left="142" w:firstLine="414"/>
              <w:jc w:val="both"/>
            </w:pPr>
            <w:r>
              <w:rPr>
                <w:b/>
              </w:rPr>
              <w:t xml:space="preserve">Специальные условия Правил </w:t>
            </w:r>
            <w:r>
              <w:t xml:space="preserve">– </w:t>
            </w:r>
            <w:r w:rsidRPr="00E5461B">
              <w:rPr>
                <w:color w:val="000000"/>
              </w:rPr>
              <w:t>Приложение № 1 к Правилам, определя</w:t>
            </w:r>
            <w:r>
              <w:rPr>
                <w:color w:val="000000"/>
              </w:rPr>
              <w:t>ющее</w:t>
            </w:r>
            <w:r w:rsidRPr="00E5461B">
              <w:rPr>
                <w:color w:val="000000"/>
              </w:rPr>
              <w:t xml:space="preserve"> специальные условия в части регулирования отношений, касающихся ЦФА,</w:t>
            </w:r>
            <w:r w:rsidRPr="000829E3">
              <w:t xml:space="preserve"> </w:t>
            </w:r>
            <w:r w:rsidRPr="00E5461B">
              <w:rPr>
                <w:color w:val="000000"/>
              </w:rPr>
              <w:t>удостоверяющих: (1) право требовать передачи эмиссионных ценных бумаг, (2) возможность осуществления прав по эмиссионным ценным бумагам.</w:t>
            </w:r>
          </w:p>
          <w:p w:rsidR="00023A0B" w:rsidRDefault="00C3475A" w:rsidP="00C3475A">
            <w:pPr>
              <w:ind w:left="142" w:firstLine="425"/>
              <w:jc w:val="both"/>
            </w:pPr>
            <w:r w:rsidRPr="00C3475A">
              <w:rPr>
                <w:b/>
              </w:rPr>
              <w:t xml:space="preserve">ЦФА </w:t>
            </w:r>
            <w:r>
              <w:rPr>
                <w:b/>
              </w:rPr>
              <w:t xml:space="preserve">- </w:t>
            </w:r>
            <w:r>
              <w:t>цифровые права, включающие право требования передачи эмиссионных ценных бумаг и иные цифровые права, выпуск, учет и обращение которых осуществляется путем внесения (изменения) записей в Информационную систему в соответствии с Законом о ЦФА и Правилами.</w:t>
            </w:r>
          </w:p>
          <w:p w:rsidR="00C3475A" w:rsidRPr="00C3475A" w:rsidRDefault="00C3475A" w:rsidP="00C3475A">
            <w:pPr>
              <w:pStyle w:val="a4"/>
              <w:ind w:left="142" w:firstLine="414"/>
              <w:jc w:val="both"/>
            </w:pPr>
            <w:r>
              <w:t>Термины, используемые в Решении о выпуске с заглавной буквы и не имеющие определения в Решении о выпуске, имеют значение, определённое в Правилах.</w:t>
            </w:r>
          </w:p>
        </w:tc>
      </w:tr>
      <w:tr w:rsidR="004A54E7" w:rsidTr="00A74D98">
        <w:tc>
          <w:tcPr>
            <w:tcW w:w="10314" w:type="dxa"/>
            <w:gridSpan w:val="2"/>
            <w:shd w:val="clear" w:color="auto" w:fill="C2D69B" w:themeFill="accent3" w:themeFillTint="99"/>
          </w:tcPr>
          <w:p w:rsidR="004A54E7" w:rsidRPr="007A5A39" w:rsidRDefault="004A54E7" w:rsidP="007A5A39">
            <w:pPr>
              <w:pStyle w:val="a4"/>
              <w:numPr>
                <w:ilvl w:val="0"/>
                <w:numId w:val="3"/>
              </w:numPr>
              <w:jc w:val="both"/>
              <w:rPr>
                <w:b/>
              </w:rPr>
            </w:pPr>
            <w:r w:rsidRPr="007A5A39">
              <w:rPr>
                <w:b/>
              </w:rPr>
              <w:t>Сведения о лице, выпускающем цифровые финансовые активы</w:t>
            </w:r>
            <w:r w:rsidR="00412217" w:rsidRPr="007A5A39">
              <w:rPr>
                <w:b/>
              </w:rPr>
              <w:t xml:space="preserve"> (Эмитент)</w:t>
            </w:r>
          </w:p>
        </w:tc>
      </w:tr>
      <w:tr w:rsidR="00D97D0E" w:rsidTr="00A74D98">
        <w:tc>
          <w:tcPr>
            <w:tcW w:w="2943" w:type="dxa"/>
            <w:shd w:val="clear" w:color="auto" w:fill="EAF1DD" w:themeFill="accent3" w:themeFillTint="33"/>
          </w:tcPr>
          <w:p w:rsidR="00D97D0E" w:rsidRDefault="00516C76" w:rsidP="00A74D98">
            <w:pPr>
              <w:pStyle w:val="a4"/>
              <w:numPr>
                <w:ilvl w:val="1"/>
                <w:numId w:val="3"/>
              </w:numPr>
              <w:ind w:left="426"/>
              <w:jc w:val="both"/>
            </w:pPr>
            <w:r>
              <w:t>Полное н</w:t>
            </w:r>
            <w:r w:rsidR="00D97D0E">
              <w:t>аименование Эмитента</w:t>
            </w:r>
            <w:r>
              <w:t xml:space="preserve"> </w:t>
            </w:r>
          </w:p>
        </w:tc>
        <w:tc>
          <w:tcPr>
            <w:tcW w:w="7371" w:type="dxa"/>
          </w:tcPr>
          <w:p w:rsidR="00D97D0E" w:rsidRDefault="00B508C5" w:rsidP="00C0669A">
            <w:pPr>
              <w:jc w:val="both"/>
            </w:pPr>
            <w:r w:rsidRPr="00B508C5">
              <w:t>Международная компания акционерное общество «Спитзмар Лимитед»</w:t>
            </w:r>
          </w:p>
        </w:tc>
      </w:tr>
      <w:tr w:rsidR="00516C76" w:rsidTr="00A74D98">
        <w:tc>
          <w:tcPr>
            <w:tcW w:w="2943" w:type="dxa"/>
            <w:shd w:val="clear" w:color="auto" w:fill="EAF1DD" w:themeFill="accent3" w:themeFillTint="33"/>
          </w:tcPr>
          <w:p w:rsidR="00516C76" w:rsidRDefault="00516C76" w:rsidP="00A74D98">
            <w:pPr>
              <w:pStyle w:val="a4"/>
              <w:numPr>
                <w:ilvl w:val="1"/>
                <w:numId w:val="3"/>
              </w:numPr>
              <w:ind w:left="426"/>
              <w:jc w:val="both"/>
            </w:pPr>
            <w:r>
              <w:t>Краткое наименование Эмитента</w:t>
            </w:r>
          </w:p>
        </w:tc>
        <w:tc>
          <w:tcPr>
            <w:tcW w:w="7371" w:type="dxa"/>
          </w:tcPr>
          <w:p w:rsidR="00516C76" w:rsidRDefault="00B508C5" w:rsidP="00C0669A">
            <w:pPr>
              <w:jc w:val="both"/>
            </w:pPr>
            <w:r w:rsidRPr="00B508C5">
              <w:t>МКАО «Спитзмар Лимитед»</w:t>
            </w:r>
          </w:p>
        </w:tc>
      </w:tr>
      <w:tr w:rsidR="00516C76" w:rsidTr="00A74D98">
        <w:tc>
          <w:tcPr>
            <w:tcW w:w="2943" w:type="dxa"/>
            <w:shd w:val="clear" w:color="auto" w:fill="EAF1DD" w:themeFill="accent3" w:themeFillTint="33"/>
          </w:tcPr>
          <w:p w:rsidR="00516C76" w:rsidRDefault="00516C76" w:rsidP="00A74D98">
            <w:pPr>
              <w:pStyle w:val="a4"/>
              <w:numPr>
                <w:ilvl w:val="1"/>
                <w:numId w:val="3"/>
              </w:numPr>
              <w:ind w:left="426"/>
              <w:jc w:val="both"/>
            </w:pPr>
            <w:r>
              <w:t>Адрес государственной регистрации/Адрес места жительства</w:t>
            </w:r>
          </w:p>
        </w:tc>
        <w:tc>
          <w:tcPr>
            <w:tcW w:w="7371" w:type="dxa"/>
          </w:tcPr>
          <w:p w:rsidR="00516C76" w:rsidRDefault="00B508C5" w:rsidP="00C0669A">
            <w:pPr>
              <w:jc w:val="both"/>
            </w:pPr>
            <w:r w:rsidRPr="00B508C5">
              <w:t>Российская Федерация, 236006, Калининградская область, г. Калининград, Солнечный бульвар, д.25, 3 этаж, пом. А/59</w:t>
            </w:r>
          </w:p>
        </w:tc>
      </w:tr>
      <w:tr w:rsidR="00516C76" w:rsidTr="00A74D98">
        <w:tc>
          <w:tcPr>
            <w:tcW w:w="2943" w:type="dxa"/>
            <w:shd w:val="clear" w:color="auto" w:fill="EAF1DD" w:themeFill="accent3" w:themeFillTint="33"/>
          </w:tcPr>
          <w:p w:rsidR="00516C76" w:rsidRDefault="00516C76" w:rsidP="00A74D98">
            <w:pPr>
              <w:pStyle w:val="a4"/>
              <w:numPr>
                <w:ilvl w:val="1"/>
                <w:numId w:val="3"/>
              </w:numPr>
              <w:ind w:left="426"/>
              <w:jc w:val="both"/>
            </w:pPr>
            <w:r>
              <w:t>Сведения о государственной регистрации (ОГРН/ОГРНИП, дата регистрации)</w:t>
            </w:r>
          </w:p>
        </w:tc>
        <w:tc>
          <w:tcPr>
            <w:tcW w:w="7371" w:type="dxa"/>
          </w:tcPr>
          <w:p w:rsidR="00B508C5" w:rsidRDefault="00B508C5" w:rsidP="00C0669A">
            <w:pPr>
              <w:jc w:val="both"/>
            </w:pPr>
            <w:r w:rsidRPr="00B508C5">
              <w:t>1193926009573</w:t>
            </w:r>
          </w:p>
          <w:p w:rsidR="00D867E8" w:rsidRDefault="00B508C5" w:rsidP="00C0669A">
            <w:pPr>
              <w:jc w:val="both"/>
            </w:pPr>
            <w:r>
              <w:t>21.05.2019</w:t>
            </w:r>
          </w:p>
        </w:tc>
      </w:tr>
      <w:tr w:rsidR="0020744E" w:rsidTr="00A74D98">
        <w:tc>
          <w:tcPr>
            <w:tcW w:w="2943" w:type="dxa"/>
            <w:shd w:val="clear" w:color="auto" w:fill="EAF1DD" w:themeFill="accent3" w:themeFillTint="33"/>
          </w:tcPr>
          <w:p w:rsidR="0020744E" w:rsidRDefault="0020744E" w:rsidP="001859F3">
            <w:pPr>
              <w:pStyle w:val="a4"/>
              <w:numPr>
                <w:ilvl w:val="1"/>
                <w:numId w:val="3"/>
              </w:numPr>
              <w:ind w:left="426"/>
              <w:jc w:val="both"/>
            </w:pPr>
            <w:r>
              <w:t>С</w:t>
            </w:r>
            <w:r w:rsidRPr="004A54E7">
              <w:t xml:space="preserve">ведения о сайте </w:t>
            </w:r>
            <w:r w:rsidR="001859F3">
              <w:t xml:space="preserve">Эмитента </w:t>
            </w:r>
            <w:r w:rsidRPr="004A54E7">
              <w:t>в информационно-телекоммуникационной сети "Интернет"</w:t>
            </w:r>
          </w:p>
        </w:tc>
        <w:tc>
          <w:tcPr>
            <w:tcW w:w="7371" w:type="dxa"/>
          </w:tcPr>
          <w:p w:rsidR="0020744E" w:rsidRPr="004A54E7" w:rsidRDefault="0020744E" w:rsidP="00FB4353">
            <w:pPr>
              <w:jc w:val="both"/>
              <w:rPr>
                <w:color w:val="000000" w:themeColor="text1"/>
              </w:rPr>
            </w:pPr>
            <w:r w:rsidRPr="004A54E7">
              <w:rPr>
                <w:color w:val="000000" w:themeColor="text1"/>
              </w:rPr>
              <w:t>Сайт отсутствует</w:t>
            </w:r>
          </w:p>
        </w:tc>
      </w:tr>
      <w:tr w:rsidR="0020744E" w:rsidTr="00A74D98">
        <w:tc>
          <w:tcPr>
            <w:tcW w:w="10314" w:type="dxa"/>
            <w:gridSpan w:val="2"/>
            <w:shd w:val="clear" w:color="auto" w:fill="C2D69B" w:themeFill="accent3" w:themeFillTint="99"/>
          </w:tcPr>
          <w:p w:rsidR="0020744E" w:rsidRPr="007A5A39" w:rsidRDefault="0020744E" w:rsidP="007A5A39">
            <w:pPr>
              <w:pStyle w:val="a4"/>
              <w:numPr>
                <w:ilvl w:val="0"/>
                <w:numId w:val="3"/>
              </w:numPr>
              <w:jc w:val="both"/>
              <w:rPr>
                <w:b/>
              </w:rPr>
            </w:pPr>
            <w:r w:rsidRPr="007A5A39">
              <w:rPr>
                <w:b/>
              </w:rPr>
              <w:t>Сведения об Операторе информационной системы</w:t>
            </w:r>
          </w:p>
        </w:tc>
      </w:tr>
      <w:tr w:rsidR="0020744E" w:rsidTr="00A74D98">
        <w:tc>
          <w:tcPr>
            <w:tcW w:w="2943" w:type="dxa"/>
            <w:shd w:val="clear" w:color="auto" w:fill="EAF1DD" w:themeFill="accent3" w:themeFillTint="33"/>
          </w:tcPr>
          <w:p w:rsidR="0020744E" w:rsidRPr="00D97D0E" w:rsidRDefault="0020744E" w:rsidP="00A74D98">
            <w:pPr>
              <w:pStyle w:val="a4"/>
              <w:numPr>
                <w:ilvl w:val="1"/>
                <w:numId w:val="3"/>
              </w:numPr>
              <w:ind w:left="426"/>
              <w:jc w:val="both"/>
            </w:pPr>
            <w:r>
              <w:t>Полное наименование Оператора</w:t>
            </w:r>
          </w:p>
        </w:tc>
        <w:tc>
          <w:tcPr>
            <w:tcW w:w="7371" w:type="dxa"/>
          </w:tcPr>
          <w:p w:rsidR="0020744E" w:rsidRDefault="0020744E" w:rsidP="00FB4353">
            <w:pPr>
              <w:jc w:val="both"/>
            </w:pPr>
            <w:r>
              <w:t>Акционерное общество «Межрегиональный регистраторский центр»</w:t>
            </w:r>
          </w:p>
        </w:tc>
      </w:tr>
      <w:tr w:rsidR="0020744E" w:rsidTr="00A74D98">
        <w:tc>
          <w:tcPr>
            <w:tcW w:w="2943" w:type="dxa"/>
            <w:shd w:val="clear" w:color="auto" w:fill="EAF1DD" w:themeFill="accent3" w:themeFillTint="33"/>
          </w:tcPr>
          <w:p w:rsidR="0020744E" w:rsidRDefault="0020744E" w:rsidP="00A74D98">
            <w:pPr>
              <w:pStyle w:val="a4"/>
              <w:numPr>
                <w:ilvl w:val="1"/>
                <w:numId w:val="3"/>
              </w:numPr>
              <w:ind w:left="426"/>
              <w:jc w:val="both"/>
            </w:pPr>
            <w:r>
              <w:t>Краткое наименование Оператора</w:t>
            </w:r>
          </w:p>
        </w:tc>
        <w:tc>
          <w:tcPr>
            <w:tcW w:w="7371" w:type="dxa"/>
          </w:tcPr>
          <w:p w:rsidR="0020744E" w:rsidRDefault="0020744E" w:rsidP="00FB4353">
            <w:pPr>
              <w:jc w:val="both"/>
            </w:pPr>
            <w:r>
              <w:t>АО «МРЦ»</w:t>
            </w:r>
          </w:p>
        </w:tc>
      </w:tr>
      <w:tr w:rsidR="0020744E" w:rsidTr="00A74D98">
        <w:tc>
          <w:tcPr>
            <w:tcW w:w="2943" w:type="dxa"/>
            <w:shd w:val="clear" w:color="auto" w:fill="EAF1DD" w:themeFill="accent3" w:themeFillTint="33"/>
          </w:tcPr>
          <w:p w:rsidR="0020744E" w:rsidRDefault="00F12AA8" w:rsidP="00A74D98">
            <w:pPr>
              <w:pStyle w:val="a4"/>
              <w:numPr>
                <w:ilvl w:val="1"/>
                <w:numId w:val="3"/>
              </w:numPr>
              <w:ind w:left="426"/>
              <w:jc w:val="both"/>
            </w:pPr>
            <w:r>
              <w:t>Адрес государственной регистрации</w:t>
            </w:r>
          </w:p>
        </w:tc>
        <w:tc>
          <w:tcPr>
            <w:tcW w:w="7371" w:type="dxa"/>
          </w:tcPr>
          <w:p w:rsidR="0020744E" w:rsidRDefault="00F12AA8" w:rsidP="00FB4353">
            <w:pPr>
              <w:jc w:val="both"/>
            </w:pPr>
            <w:r w:rsidRPr="00F12AA8">
              <w:t>105062, Российская Федерация, г.Москва, Подсосенский пер., дом 26, стр.2</w:t>
            </w:r>
          </w:p>
        </w:tc>
      </w:tr>
      <w:tr w:rsidR="00F12AA8" w:rsidTr="00A74D98">
        <w:tc>
          <w:tcPr>
            <w:tcW w:w="2943" w:type="dxa"/>
            <w:shd w:val="clear" w:color="auto" w:fill="EAF1DD" w:themeFill="accent3" w:themeFillTint="33"/>
          </w:tcPr>
          <w:p w:rsidR="00F12AA8" w:rsidRDefault="00F12AA8" w:rsidP="00A74D98">
            <w:pPr>
              <w:pStyle w:val="a4"/>
              <w:numPr>
                <w:ilvl w:val="1"/>
                <w:numId w:val="3"/>
              </w:numPr>
              <w:ind w:left="426"/>
              <w:jc w:val="both"/>
            </w:pPr>
            <w:r>
              <w:t>ОГРН</w:t>
            </w:r>
          </w:p>
        </w:tc>
        <w:tc>
          <w:tcPr>
            <w:tcW w:w="7371" w:type="dxa"/>
          </w:tcPr>
          <w:p w:rsidR="00F12AA8" w:rsidRPr="00F12AA8" w:rsidRDefault="00F12AA8" w:rsidP="00FB4353">
            <w:pPr>
              <w:jc w:val="both"/>
            </w:pPr>
            <w:r w:rsidRPr="00F12AA8">
              <w:t>1021900520883</w:t>
            </w:r>
          </w:p>
        </w:tc>
      </w:tr>
      <w:tr w:rsidR="0020744E" w:rsidTr="00A74D98">
        <w:tc>
          <w:tcPr>
            <w:tcW w:w="2943" w:type="dxa"/>
            <w:shd w:val="clear" w:color="auto" w:fill="EAF1DD" w:themeFill="accent3" w:themeFillTint="33"/>
          </w:tcPr>
          <w:p w:rsidR="0020744E" w:rsidRDefault="0020744E" w:rsidP="00A74D98">
            <w:pPr>
              <w:pStyle w:val="a4"/>
              <w:numPr>
                <w:ilvl w:val="1"/>
                <w:numId w:val="3"/>
              </w:numPr>
              <w:ind w:left="426"/>
              <w:jc w:val="both"/>
            </w:pPr>
            <w:r>
              <w:t>Адрес ОИС в сети интернет</w:t>
            </w:r>
          </w:p>
        </w:tc>
        <w:tc>
          <w:tcPr>
            <w:tcW w:w="7371" w:type="dxa"/>
          </w:tcPr>
          <w:p w:rsidR="0020744E" w:rsidRDefault="00A957A8" w:rsidP="00FB4353">
            <w:pPr>
              <w:jc w:val="both"/>
            </w:pPr>
            <w:hyperlink r:id="rId7" w:history="1">
              <w:r w:rsidR="007B7ED2" w:rsidRPr="00E777F4">
                <w:rPr>
                  <w:rStyle w:val="a5"/>
                  <w:lang w:val="en-US"/>
                </w:rPr>
                <w:t>www.cfa.mrz.ru</w:t>
              </w:r>
            </w:hyperlink>
          </w:p>
          <w:p w:rsidR="007B7ED2" w:rsidRPr="007B7ED2" w:rsidRDefault="007B7ED2" w:rsidP="00FB4353">
            <w:pPr>
              <w:jc w:val="both"/>
            </w:pPr>
          </w:p>
        </w:tc>
      </w:tr>
      <w:tr w:rsidR="00EF79F5" w:rsidTr="00A74D98">
        <w:tc>
          <w:tcPr>
            <w:tcW w:w="10314" w:type="dxa"/>
            <w:gridSpan w:val="2"/>
            <w:shd w:val="clear" w:color="auto" w:fill="C2D69B" w:themeFill="accent3" w:themeFillTint="99"/>
          </w:tcPr>
          <w:p w:rsidR="00EF79F5" w:rsidRPr="007A5A39" w:rsidRDefault="00EF79F5" w:rsidP="007A5A39">
            <w:pPr>
              <w:pStyle w:val="a4"/>
              <w:numPr>
                <w:ilvl w:val="0"/>
                <w:numId w:val="3"/>
              </w:numPr>
              <w:jc w:val="both"/>
              <w:rPr>
                <w:b/>
              </w:rPr>
            </w:pPr>
            <w:r w:rsidRPr="007A5A39">
              <w:rPr>
                <w:b/>
              </w:rPr>
              <w:t>Информация о выпуске</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lastRenderedPageBreak/>
              <w:t>Наименование выпуска</w:t>
            </w:r>
          </w:p>
        </w:tc>
        <w:tc>
          <w:tcPr>
            <w:tcW w:w="7371" w:type="dxa"/>
          </w:tcPr>
          <w:p w:rsidR="00D97D0E" w:rsidRDefault="00676256" w:rsidP="00C0669A">
            <w:pPr>
              <w:jc w:val="both"/>
            </w:pPr>
            <w:proofErr w:type="spellStart"/>
            <w:r w:rsidRPr="00B508C5">
              <w:t>Спитзмар</w:t>
            </w:r>
            <w:proofErr w:type="spellEnd"/>
            <w:r w:rsidRPr="00B508C5">
              <w:t xml:space="preserve"> Лимитед</w:t>
            </w:r>
            <w:r>
              <w:t xml:space="preserve"> в</w:t>
            </w:r>
            <w:r w:rsidR="00F12AA8">
              <w:t>ыпуск №1</w:t>
            </w:r>
          </w:p>
        </w:tc>
      </w:tr>
      <w:tr w:rsidR="00D97D0E" w:rsidTr="00A74D98">
        <w:tc>
          <w:tcPr>
            <w:tcW w:w="2943" w:type="dxa"/>
            <w:shd w:val="clear" w:color="auto" w:fill="EAF1DD" w:themeFill="accent3" w:themeFillTint="33"/>
          </w:tcPr>
          <w:p w:rsidR="00D97D0E" w:rsidRPr="00D938C7" w:rsidRDefault="00D97D0E" w:rsidP="00A74D98">
            <w:pPr>
              <w:pStyle w:val="a4"/>
              <w:numPr>
                <w:ilvl w:val="1"/>
                <w:numId w:val="3"/>
              </w:numPr>
              <w:ind w:left="426"/>
              <w:jc w:val="both"/>
            </w:pPr>
            <w:r>
              <w:t>Тикер выпуска</w:t>
            </w:r>
            <w:r w:rsidR="00D938C7" w:rsidRPr="00D938C7">
              <w:t xml:space="preserve"> (</w:t>
            </w:r>
            <w:r w:rsidR="00D938C7">
              <w:t>ун</w:t>
            </w:r>
            <w:r w:rsidR="00412217">
              <w:t>икальный короткий идентификатор</w:t>
            </w:r>
            <w:r w:rsidR="004A54E7">
              <w:t>)</w:t>
            </w:r>
          </w:p>
        </w:tc>
        <w:tc>
          <w:tcPr>
            <w:tcW w:w="7371" w:type="dxa"/>
          </w:tcPr>
          <w:p w:rsidR="00D97D0E" w:rsidRPr="00F12AA8" w:rsidRDefault="00676256" w:rsidP="00676256">
            <w:pPr>
              <w:jc w:val="both"/>
              <w:rPr>
                <w:lang w:val="en-US"/>
              </w:rPr>
            </w:pPr>
            <w:r>
              <w:rPr>
                <w:lang w:val="en-US"/>
              </w:rPr>
              <w:t>Sptzm</w:t>
            </w:r>
            <w:r w:rsidR="00F12AA8">
              <w:rPr>
                <w:lang w:val="en-US"/>
              </w:rPr>
              <w:t>1</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 xml:space="preserve">Вид </w:t>
            </w:r>
            <w:r w:rsidR="004A54E7">
              <w:t xml:space="preserve">и объем </w:t>
            </w:r>
            <w:r>
              <w:t>прав, удостоверенных ЦФА</w:t>
            </w:r>
          </w:p>
        </w:tc>
        <w:tc>
          <w:tcPr>
            <w:tcW w:w="7371" w:type="dxa"/>
          </w:tcPr>
          <w:p w:rsidR="0066584A" w:rsidRDefault="004A54E7" w:rsidP="00412217">
            <w:pPr>
              <w:jc w:val="both"/>
              <w:rPr>
                <w:i/>
              </w:rPr>
            </w:pPr>
            <w:r>
              <w:rPr>
                <w:i/>
              </w:rPr>
              <w:t xml:space="preserve">1 ЦФА удостоверяет </w:t>
            </w:r>
            <w:r w:rsidR="0066584A">
              <w:rPr>
                <w:i/>
              </w:rPr>
              <w:t>следующ</w:t>
            </w:r>
            <w:r w:rsidR="00DE1085">
              <w:rPr>
                <w:i/>
              </w:rPr>
              <w:t>ее</w:t>
            </w:r>
            <w:r w:rsidR="0066584A">
              <w:rPr>
                <w:i/>
              </w:rPr>
              <w:t xml:space="preserve"> </w:t>
            </w:r>
            <w:r w:rsidR="001859F3">
              <w:rPr>
                <w:i/>
              </w:rPr>
              <w:t>Прав</w:t>
            </w:r>
            <w:r w:rsidR="00DE1085">
              <w:rPr>
                <w:i/>
              </w:rPr>
              <w:t>о</w:t>
            </w:r>
            <w:r w:rsidR="00D97D0E" w:rsidRPr="00C0669A">
              <w:rPr>
                <w:i/>
              </w:rPr>
              <w:t xml:space="preserve"> </w:t>
            </w:r>
            <w:r w:rsidR="00412217">
              <w:rPr>
                <w:i/>
              </w:rPr>
              <w:t>его Владельца</w:t>
            </w:r>
            <w:r w:rsidR="0066584A">
              <w:rPr>
                <w:i/>
              </w:rPr>
              <w:t>:</w:t>
            </w:r>
          </w:p>
          <w:p w:rsidR="00610F2F" w:rsidRDefault="001859F3" w:rsidP="008E5CAC">
            <w:pPr>
              <w:pStyle w:val="a4"/>
              <w:numPr>
                <w:ilvl w:val="0"/>
                <w:numId w:val="1"/>
              </w:numPr>
              <w:jc w:val="both"/>
              <w:rPr>
                <w:i/>
              </w:rPr>
            </w:pPr>
            <w:r>
              <w:rPr>
                <w:i/>
              </w:rPr>
              <w:t xml:space="preserve">Право </w:t>
            </w:r>
            <w:r w:rsidR="00D97D0E" w:rsidRPr="0066584A">
              <w:rPr>
                <w:i/>
              </w:rPr>
              <w:t>требова</w:t>
            </w:r>
            <w:r w:rsidR="00412217" w:rsidRPr="0066584A">
              <w:rPr>
                <w:i/>
              </w:rPr>
              <w:t xml:space="preserve">ть от Эмитента ЦФА </w:t>
            </w:r>
            <w:r w:rsidR="00D97D0E" w:rsidRPr="0066584A">
              <w:rPr>
                <w:i/>
              </w:rPr>
              <w:t xml:space="preserve"> передачи </w:t>
            </w:r>
            <w:r w:rsidR="004A54E7" w:rsidRPr="0066584A">
              <w:rPr>
                <w:i/>
              </w:rPr>
              <w:t xml:space="preserve">1 обыкновенной  акции Акционерного общества «Таурус», </w:t>
            </w:r>
            <w:r w:rsidR="00611898">
              <w:rPr>
                <w:i/>
              </w:rPr>
              <w:t xml:space="preserve">выпуск </w:t>
            </w:r>
            <w:r w:rsidR="004A54E7" w:rsidRPr="0066584A">
              <w:rPr>
                <w:i/>
              </w:rPr>
              <w:t>№1-01-86754-</w:t>
            </w:r>
            <w:r w:rsidR="00611898">
              <w:rPr>
                <w:i/>
              </w:rPr>
              <w:t xml:space="preserve">Н </w:t>
            </w:r>
            <w:r w:rsidR="004A54E7" w:rsidRPr="0066584A">
              <w:rPr>
                <w:i/>
              </w:rPr>
              <w:t>от 18.</w:t>
            </w:r>
            <w:r w:rsidR="00412217" w:rsidRPr="0066584A">
              <w:rPr>
                <w:i/>
              </w:rPr>
              <w:t>10</w:t>
            </w:r>
            <w:r w:rsidR="004A54E7" w:rsidRPr="0066584A">
              <w:rPr>
                <w:i/>
              </w:rPr>
              <w:t>.2019</w:t>
            </w:r>
          </w:p>
          <w:p w:rsidR="0066584A" w:rsidRPr="008E5CAC" w:rsidRDefault="004C53A7" w:rsidP="008E5CAC">
            <w:pPr>
              <w:pStyle w:val="a4"/>
              <w:numPr>
                <w:ilvl w:val="0"/>
                <w:numId w:val="1"/>
              </w:numPr>
              <w:jc w:val="both"/>
              <w:rPr>
                <w:i/>
              </w:rPr>
            </w:pPr>
            <w:r w:rsidRPr="001165C0">
              <w:rPr>
                <w:i/>
              </w:rPr>
              <w:t>Право получения</w:t>
            </w:r>
            <w:r w:rsidR="00610F2F" w:rsidRPr="001165C0">
              <w:rPr>
                <w:i/>
              </w:rPr>
              <w:t xml:space="preserve"> денежных средств в соответствии с п. 5.1. настоящего Решения о выпуске ЦФА</w:t>
            </w:r>
          </w:p>
        </w:tc>
      </w:tr>
      <w:tr w:rsidR="00D97D0E" w:rsidTr="00A74D98">
        <w:tc>
          <w:tcPr>
            <w:tcW w:w="2943" w:type="dxa"/>
            <w:shd w:val="clear" w:color="auto" w:fill="EAF1DD" w:themeFill="accent3" w:themeFillTint="33"/>
          </w:tcPr>
          <w:p w:rsidR="00D97D0E" w:rsidRDefault="007A5A39" w:rsidP="00A74D98">
            <w:pPr>
              <w:pStyle w:val="a4"/>
              <w:numPr>
                <w:ilvl w:val="1"/>
                <w:numId w:val="3"/>
              </w:numPr>
              <w:ind w:left="426"/>
              <w:jc w:val="both"/>
            </w:pPr>
            <w:r>
              <w:t xml:space="preserve"> </w:t>
            </w:r>
            <w:r w:rsidR="00D97D0E">
              <w:t xml:space="preserve">Дата </w:t>
            </w:r>
            <w:r w:rsidR="00F12AA8">
              <w:t>выпуска ЦФА</w:t>
            </w:r>
            <w:r w:rsidR="00A84D6E">
              <w:t xml:space="preserve"> </w:t>
            </w:r>
            <w:r w:rsidR="00F12AA8">
              <w:t>(</w:t>
            </w:r>
            <w:r w:rsidR="00F12AA8" w:rsidRPr="00F12AA8">
              <w:t>дат</w:t>
            </w:r>
            <w:r w:rsidR="00F12AA8">
              <w:t>а</w:t>
            </w:r>
            <w:r w:rsidR="00F12AA8" w:rsidRPr="00F12AA8">
              <w:t xml:space="preserve"> заключения договоров</w:t>
            </w:r>
            <w:r w:rsidR="00F12AA8">
              <w:t xml:space="preserve"> о</w:t>
            </w:r>
            <w:r w:rsidR="00F12AA8" w:rsidRPr="00F12AA8">
              <w:t xml:space="preserve"> приобретении</w:t>
            </w:r>
            <w:r w:rsidR="00F12AA8">
              <w:t xml:space="preserve"> ЦФА)</w:t>
            </w:r>
          </w:p>
        </w:tc>
        <w:tc>
          <w:tcPr>
            <w:tcW w:w="7371" w:type="dxa"/>
          </w:tcPr>
          <w:p w:rsidR="00A84D6E" w:rsidRPr="00263188" w:rsidRDefault="00EC595B" w:rsidP="00364CE6">
            <w:pPr>
              <w:jc w:val="both"/>
              <w:rPr>
                <w:b/>
                <w:color w:val="000000" w:themeColor="text1"/>
              </w:rPr>
            </w:pPr>
            <w:r>
              <w:rPr>
                <w:b/>
                <w:color w:val="000000" w:themeColor="text1"/>
                <w:lang w:val="en-US"/>
              </w:rPr>
              <w:t>01</w:t>
            </w:r>
            <w:r>
              <w:rPr>
                <w:b/>
                <w:color w:val="000000" w:themeColor="text1"/>
              </w:rPr>
              <w:t>.0</w:t>
            </w:r>
            <w:r>
              <w:rPr>
                <w:b/>
                <w:color w:val="000000" w:themeColor="text1"/>
                <w:lang w:val="en-US"/>
              </w:rPr>
              <w:t>9</w:t>
            </w:r>
            <w:r w:rsidR="00A84D6E" w:rsidRPr="00263188">
              <w:rPr>
                <w:b/>
                <w:color w:val="000000" w:themeColor="text1"/>
              </w:rPr>
              <w:t>.</w:t>
            </w:r>
            <w:r w:rsidR="00364CE6" w:rsidRPr="00263188">
              <w:rPr>
                <w:b/>
                <w:color w:val="000000" w:themeColor="text1"/>
              </w:rPr>
              <w:t>20</w:t>
            </w:r>
            <w:r w:rsidR="00A84D6E" w:rsidRPr="00263188">
              <w:rPr>
                <w:b/>
                <w:color w:val="000000" w:themeColor="text1"/>
              </w:rPr>
              <w:t>25</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 xml:space="preserve">Способ </w:t>
            </w:r>
            <w:r w:rsidR="00F2573F">
              <w:t>расчетов</w:t>
            </w:r>
            <w:r>
              <w:t xml:space="preserve"> в рамках эмиссии ЦФА</w:t>
            </w:r>
          </w:p>
        </w:tc>
        <w:tc>
          <w:tcPr>
            <w:tcW w:w="7371" w:type="dxa"/>
          </w:tcPr>
          <w:p w:rsidR="00543DDE" w:rsidRDefault="00543DDE" w:rsidP="00543DDE">
            <w:pPr>
              <w:jc w:val="both"/>
            </w:pPr>
            <w:r>
              <w:rPr>
                <w:color w:val="000000"/>
              </w:rPr>
              <w:t>Сделки размещения исполняются с применением внесистемных расчетов</w:t>
            </w:r>
            <w:r w:rsidR="00F2573F">
              <w:rPr>
                <w:color w:val="000000"/>
              </w:rPr>
              <w:t xml:space="preserve"> без обращения к Оператору</w:t>
            </w:r>
            <w:r>
              <w:rPr>
                <w:color w:val="000000"/>
              </w:rPr>
              <w:t xml:space="preserve"> в соответствии с пунктами 2.3. Специальных условий Правил</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 xml:space="preserve">Способ </w:t>
            </w:r>
            <w:r w:rsidR="00F2573F">
              <w:t>расчетов</w:t>
            </w:r>
            <w:r>
              <w:t xml:space="preserve"> при погашении </w:t>
            </w:r>
            <w:r w:rsidR="00F2573F">
              <w:t>записи о ЦФА</w:t>
            </w:r>
          </w:p>
        </w:tc>
        <w:tc>
          <w:tcPr>
            <w:tcW w:w="7371" w:type="dxa"/>
          </w:tcPr>
          <w:p w:rsidR="00D97D0E" w:rsidRDefault="00181684" w:rsidP="00C0669A">
            <w:pPr>
              <w:jc w:val="both"/>
            </w:pPr>
            <w:r>
              <w:t>В случае п</w:t>
            </w:r>
            <w:r w:rsidR="005B7D77">
              <w:t>е</w:t>
            </w:r>
            <w:r>
              <w:t>речисления</w:t>
            </w:r>
            <w:r w:rsidR="005B7D77">
              <w:t xml:space="preserve"> денежных средств при погашении</w:t>
            </w:r>
            <w:r>
              <w:t>, такое перечисление</w:t>
            </w:r>
            <w:r w:rsidR="005B7D77">
              <w:t xml:space="preserve"> осуществляется по банковским реквизитам, с которых была осуществлена оплата при приобретении ЦФА, </w:t>
            </w:r>
            <w:r w:rsidR="005B7D77">
              <w:rPr>
                <w:color w:val="000000"/>
              </w:rPr>
              <w:t>с применением внесистемных расчетов без обращения к Оператору.</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Количество выпускаемых ЦФА</w:t>
            </w:r>
          </w:p>
        </w:tc>
        <w:tc>
          <w:tcPr>
            <w:tcW w:w="7371" w:type="dxa"/>
          </w:tcPr>
          <w:p w:rsidR="00D97D0E" w:rsidRDefault="008739CF" w:rsidP="00C0669A">
            <w:pPr>
              <w:jc w:val="both"/>
            </w:pPr>
            <w:r>
              <w:t>1</w:t>
            </w:r>
            <w:r w:rsidR="00B508C5">
              <w:t xml:space="preserve"> </w:t>
            </w:r>
            <w:r w:rsidR="00D867E8">
              <w:t xml:space="preserve"> штук</w:t>
            </w:r>
            <w:r>
              <w:t>а</w:t>
            </w:r>
            <w:r w:rsidR="00D867E8">
              <w:t xml:space="preserve"> </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Цена за единицу ЦФА, руб.</w:t>
            </w:r>
          </w:p>
        </w:tc>
        <w:tc>
          <w:tcPr>
            <w:tcW w:w="7371" w:type="dxa"/>
          </w:tcPr>
          <w:p w:rsidR="00D97D0E" w:rsidRDefault="008739CF" w:rsidP="00C0669A">
            <w:pPr>
              <w:jc w:val="both"/>
            </w:pPr>
            <w:r>
              <w:t>75</w:t>
            </w:r>
            <w:r w:rsidR="00412217">
              <w:t> </w:t>
            </w:r>
            <w:r>
              <w:t>000</w:t>
            </w:r>
            <w:r w:rsidR="00412217">
              <w:t xml:space="preserve"> руб.</w:t>
            </w:r>
          </w:p>
        </w:tc>
      </w:tr>
      <w:tr w:rsidR="00DB2A45" w:rsidTr="00A74D98">
        <w:tc>
          <w:tcPr>
            <w:tcW w:w="2943" w:type="dxa"/>
            <w:shd w:val="clear" w:color="auto" w:fill="EAF1DD" w:themeFill="accent3" w:themeFillTint="33"/>
          </w:tcPr>
          <w:p w:rsidR="00DB2A45" w:rsidRDefault="00DB2A45" w:rsidP="00A74D98">
            <w:pPr>
              <w:pStyle w:val="a4"/>
              <w:numPr>
                <w:ilvl w:val="1"/>
                <w:numId w:val="3"/>
              </w:numPr>
              <w:ind w:left="426"/>
              <w:jc w:val="both"/>
            </w:pPr>
            <w:r>
              <w:t>Вид, категория (тип) эмиссионной ценной бумаги, право требовать передачи которой удостоверяет ЦФА</w:t>
            </w:r>
          </w:p>
        </w:tc>
        <w:tc>
          <w:tcPr>
            <w:tcW w:w="7371" w:type="dxa"/>
          </w:tcPr>
          <w:p w:rsidR="00DB2A45" w:rsidRPr="00E40134" w:rsidRDefault="00D867E8" w:rsidP="00D20B06">
            <w:pPr>
              <w:jc w:val="both"/>
            </w:pPr>
            <w:r>
              <w:t>Акции обыкновенные</w:t>
            </w:r>
            <w:r w:rsidR="00E40134">
              <w:t xml:space="preserve"> АО «Таурус»</w:t>
            </w:r>
            <w:r w:rsidR="00412217">
              <w:t xml:space="preserve">, </w:t>
            </w:r>
            <w:r w:rsidR="00220F63">
              <w:t>Выпуск №</w:t>
            </w:r>
            <w:r w:rsidR="00FF6367">
              <w:t>1-01-86754-H</w:t>
            </w:r>
            <w:r w:rsidR="00611898">
              <w:t xml:space="preserve"> </w:t>
            </w:r>
            <w:r w:rsidR="00E40134">
              <w:rPr>
                <w:i/>
              </w:rPr>
              <w:t>зарегистрирован 18.10.2019</w:t>
            </w:r>
            <w:r w:rsidR="00D20B06">
              <w:t xml:space="preserve"> г. </w:t>
            </w:r>
            <w:r w:rsidR="00D20B06">
              <w:rPr>
                <w:i/>
              </w:rPr>
              <w:t>Главным</w:t>
            </w:r>
            <w:r w:rsidR="00E40134">
              <w:rPr>
                <w:i/>
              </w:rPr>
              <w:t xml:space="preserve"> управление</w:t>
            </w:r>
            <w:r w:rsidR="00D20B06">
              <w:rPr>
                <w:i/>
              </w:rPr>
              <w:t>м</w:t>
            </w:r>
            <w:r w:rsidR="00E40134">
              <w:rPr>
                <w:i/>
              </w:rPr>
              <w:t xml:space="preserve"> Центрального банка Российской федерации по Центральному федеральному округу г. Москвы</w:t>
            </w:r>
          </w:p>
        </w:tc>
      </w:tr>
      <w:tr w:rsidR="00D97D0E" w:rsidTr="00A74D98">
        <w:tc>
          <w:tcPr>
            <w:tcW w:w="2943" w:type="dxa"/>
            <w:shd w:val="clear" w:color="auto" w:fill="EAF1DD" w:themeFill="accent3" w:themeFillTint="33"/>
          </w:tcPr>
          <w:p w:rsidR="00D97D0E" w:rsidRDefault="00D97D0E" w:rsidP="00A74D98">
            <w:pPr>
              <w:pStyle w:val="a4"/>
              <w:numPr>
                <w:ilvl w:val="1"/>
                <w:numId w:val="3"/>
              </w:numPr>
              <w:ind w:left="426"/>
              <w:jc w:val="both"/>
            </w:pPr>
            <w:r>
              <w:t xml:space="preserve">Количество </w:t>
            </w:r>
            <w:r w:rsidR="0026374C">
              <w:t>эмиссионных ценных бумаг</w:t>
            </w:r>
            <w:r>
              <w:t>, соответствующих единице ЦФА, шт.</w:t>
            </w:r>
          </w:p>
        </w:tc>
        <w:tc>
          <w:tcPr>
            <w:tcW w:w="7371" w:type="dxa"/>
          </w:tcPr>
          <w:p w:rsidR="00D97D0E" w:rsidRDefault="00754576" w:rsidP="00C0669A">
            <w:pPr>
              <w:jc w:val="both"/>
            </w:pPr>
            <w:r>
              <w:t>1 штука</w:t>
            </w:r>
          </w:p>
        </w:tc>
      </w:tr>
      <w:tr w:rsidR="00D97D0E" w:rsidTr="00A74D98">
        <w:tc>
          <w:tcPr>
            <w:tcW w:w="2943" w:type="dxa"/>
            <w:shd w:val="clear" w:color="auto" w:fill="EAF1DD" w:themeFill="accent3" w:themeFillTint="33"/>
          </w:tcPr>
          <w:p w:rsidR="00D97D0E" w:rsidRDefault="007A5A39" w:rsidP="00A74D98">
            <w:pPr>
              <w:ind w:left="426"/>
              <w:jc w:val="both"/>
            </w:pPr>
            <w:r>
              <w:t xml:space="preserve">3.11. </w:t>
            </w:r>
            <w:r w:rsidR="00D97D0E">
              <w:t xml:space="preserve">Дата и время начала </w:t>
            </w:r>
            <w:r w:rsidR="0020744E">
              <w:t>сбора заявок на приобретение</w:t>
            </w:r>
            <w:r w:rsidR="00D97D0E">
              <w:t xml:space="preserve"> ЦФА</w:t>
            </w:r>
            <w:r w:rsidR="00F12AA8">
              <w:t xml:space="preserve"> (</w:t>
            </w:r>
            <w:r w:rsidR="00F12AA8" w:rsidRPr="00F12AA8">
              <w:t>дат</w:t>
            </w:r>
            <w:r w:rsidR="00F12AA8">
              <w:t>а</w:t>
            </w:r>
            <w:r w:rsidR="00F12AA8" w:rsidRPr="00F12AA8">
              <w:t xml:space="preserve"> начала размещения выпускаемых цифровых финансовых активов путем заключения договоров об их приобретении</w:t>
            </w:r>
            <w:r w:rsidR="00F12AA8">
              <w:t>)</w:t>
            </w:r>
          </w:p>
        </w:tc>
        <w:tc>
          <w:tcPr>
            <w:tcW w:w="7371" w:type="dxa"/>
          </w:tcPr>
          <w:p w:rsidR="00D97D0E" w:rsidRPr="00263188" w:rsidRDefault="00EC595B" w:rsidP="00364CE6">
            <w:pPr>
              <w:jc w:val="both"/>
              <w:rPr>
                <w:b/>
                <w:color w:val="000000" w:themeColor="text1"/>
              </w:rPr>
            </w:pPr>
            <w:r>
              <w:rPr>
                <w:b/>
                <w:color w:val="000000" w:themeColor="text1"/>
              </w:rPr>
              <w:t>2</w:t>
            </w:r>
            <w:r>
              <w:rPr>
                <w:b/>
                <w:color w:val="000000" w:themeColor="text1"/>
                <w:lang w:val="en-US"/>
              </w:rPr>
              <w:t>9</w:t>
            </w:r>
            <w:r w:rsidR="00A84D6E" w:rsidRPr="00263188">
              <w:rPr>
                <w:b/>
                <w:color w:val="000000" w:themeColor="text1"/>
              </w:rPr>
              <w:t>.0</w:t>
            </w:r>
            <w:r w:rsidR="00364CE6" w:rsidRPr="00263188">
              <w:rPr>
                <w:b/>
                <w:color w:val="000000" w:themeColor="text1"/>
              </w:rPr>
              <w:t>8</w:t>
            </w:r>
            <w:r w:rsidR="00A84D6E" w:rsidRPr="00263188">
              <w:rPr>
                <w:b/>
                <w:color w:val="000000" w:themeColor="text1"/>
              </w:rPr>
              <w:t>.2025</w:t>
            </w:r>
            <w:r w:rsidR="00412217" w:rsidRPr="00263188">
              <w:rPr>
                <w:b/>
                <w:color w:val="000000" w:themeColor="text1"/>
              </w:rPr>
              <w:t>, 9:00</w:t>
            </w:r>
            <w:r w:rsidR="00364CE6" w:rsidRPr="00263188">
              <w:rPr>
                <w:b/>
                <w:color w:val="000000" w:themeColor="text1"/>
              </w:rPr>
              <w:t xml:space="preserve"> по Московскому времени</w:t>
            </w:r>
          </w:p>
        </w:tc>
      </w:tr>
      <w:tr w:rsidR="00412217" w:rsidTr="00A74D98">
        <w:tc>
          <w:tcPr>
            <w:tcW w:w="2943" w:type="dxa"/>
            <w:shd w:val="clear" w:color="auto" w:fill="EAF1DD" w:themeFill="accent3" w:themeFillTint="33"/>
          </w:tcPr>
          <w:p w:rsidR="00412217" w:rsidRDefault="007A5A39" w:rsidP="00A74D98">
            <w:pPr>
              <w:ind w:left="426"/>
              <w:jc w:val="both"/>
            </w:pPr>
            <w:r>
              <w:t xml:space="preserve">3.12. </w:t>
            </w:r>
            <w:r w:rsidR="00412217">
              <w:t>Дата и время завершения</w:t>
            </w:r>
            <w:r w:rsidR="00F12AA8">
              <w:t xml:space="preserve"> сбора </w:t>
            </w:r>
            <w:r w:rsidR="00412217">
              <w:t xml:space="preserve"> </w:t>
            </w:r>
            <w:r w:rsidR="0020744E">
              <w:t>заявок на приобретение</w:t>
            </w:r>
            <w:r w:rsidR="00412217">
              <w:t xml:space="preserve"> ЦФА</w:t>
            </w:r>
          </w:p>
        </w:tc>
        <w:tc>
          <w:tcPr>
            <w:tcW w:w="7371" w:type="dxa"/>
          </w:tcPr>
          <w:p w:rsidR="00412217" w:rsidRPr="00263188" w:rsidRDefault="00EC595B" w:rsidP="00FB4353">
            <w:pPr>
              <w:jc w:val="both"/>
              <w:rPr>
                <w:b/>
                <w:color w:val="000000" w:themeColor="text1"/>
              </w:rPr>
            </w:pPr>
            <w:r>
              <w:rPr>
                <w:b/>
                <w:color w:val="000000" w:themeColor="text1"/>
                <w:lang w:val="en-US"/>
              </w:rPr>
              <w:t>31</w:t>
            </w:r>
            <w:r w:rsidR="00412217" w:rsidRPr="00263188">
              <w:rPr>
                <w:b/>
                <w:color w:val="000000" w:themeColor="text1"/>
              </w:rPr>
              <w:t>.0</w:t>
            </w:r>
            <w:r w:rsidR="00364CE6" w:rsidRPr="00263188">
              <w:rPr>
                <w:b/>
                <w:color w:val="000000" w:themeColor="text1"/>
              </w:rPr>
              <w:t>8</w:t>
            </w:r>
            <w:r w:rsidR="00412217" w:rsidRPr="00263188">
              <w:rPr>
                <w:b/>
                <w:color w:val="000000" w:themeColor="text1"/>
              </w:rPr>
              <w:t xml:space="preserve">.2025, </w:t>
            </w:r>
            <w:r w:rsidR="00FB4353" w:rsidRPr="00263188">
              <w:rPr>
                <w:b/>
                <w:color w:val="000000" w:themeColor="text1"/>
                <w:lang w:val="en-US"/>
              </w:rPr>
              <w:t>23</w:t>
            </w:r>
            <w:r w:rsidR="00412217" w:rsidRPr="00263188">
              <w:rPr>
                <w:b/>
                <w:color w:val="000000" w:themeColor="text1"/>
              </w:rPr>
              <w:t>:</w:t>
            </w:r>
            <w:r w:rsidR="00FB4353" w:rsidRPr="00263188">
              <w:rPr>
                <w:b/>
                <w:color w:val="000000" w:themeColor="text1"/>
                <w:lang w:val="en-US"/>
              </w:rPr>
              <w:t>59</w:t>
            </w:r>
            <w:r w:rsidR="00364CE6" w:rsidRPr="00263188">
              <w:rPr>
                <w:b/>
                <w:color w:val="000000" w:themeColor="text1"/>
              </w:rPr>
              <w:t xml:space="preserve"> по Московскому времени</w:t>
            </w:r>
          </w:p>
        </w:tc>
      </w:tr>
      <w:tr w:rsidR="00D97D0E" w:rsidTr="00A74D98">
        <w:tc>
          <w:tcPr>
            <w:tcW w:w="2943" w:type="dxa"/>
            <w:shd w:val="clear" w:color="auto" w:fill="EAF1DD" w:themeFill="accent3" w:themeFillTint="33"/>
          </w:tcPr>
          <w:p w:rsidR="00D97D0E" w:rsidRPr="00F12AA8" w:rsidRDefault="007A5A39" w:rsidP="00A74D98">
            <w:pPr>
              <w:ind w:left="426"/>
              <w:jc w:val="both"/>
            </w:pPr>
            <w:r>
              <w:t xml:space="preserve">3.13. </w:t>
            </w:r>
            <w:r w:rsidR="00D97D0E">
              <w:t>Условие признания выпуска состоявшимся</w:t>
            </w:r>
            <w:r w:rsidR="00F12AA8" w:rsidRPr="00F12AA8">
              <w:t xml:space="preserve"> (</w:t>
            </w:r>
            <w:r w:rsidR="00F12AA8">
              <w:t>завершенным)</w:t>
            </w:r>
          </w:p>
        </w:tc>
        <w:tc>
          <w:tcPr>
            <w:tcW w:w="7371" w:type="dxa"/>
          </w:tcPr>
          <w:p w:rsidR="00D97D0E" w:rsidRDefault="00EF2358" w:rsidP="00EF2358">
            <w:pPr>
              <w:jc w:val="both"/>
            </w:pPr>
            <w:r>
              <w:t>На дату выпуска ЦФА в</w:t>
            </w:r>
            <w:r w:rsidR="00D867E8">
              <w:t>ыкуплены все</w:t>
            </w:r>
            <w:r w:rsidR="00D867E8" w:rsidRPr="0020744E">
              <w:rPr>
                <w:color w:val="000000" w:themeColor="text1"/>
              </w:rPr>
              <w:t xml:space="preserve"> </w:t>
            </w:r>
            <w:r w:rsidR="006D0188" w:rsidRPr="0020744E">
              <w:rPr>
                <w:color w:val="000000" w:themeColor="text1"/>
              </w:rPr>
              <w:t>ЦФА</w:t>
            </w:r>
            <w:r w:rsidR="001859F3">
              <w:rPr>
                <w:color w:val="000000" w:themeColor="text1"/>
              </w:rPr>
              <w:t xml:space="preserve"> выпуска</w:t>
            </w:r>
          </w:p>
        </w:tc>
      </w:tr>
      <w:tr w:rsidR="00FE51A3" w:rsidTr="00A74D98">
        <w:tc>
          <w:tcPr>
            <w:tcW w:w="2943" w:type="dxa"/>
            <w:shd w:val="clear" w:color="auto" w:fill="EAF1DD" w:themeFill="accent3" w:themeFillTint="33"/>
          </w:tcPr>
          <w:p w:rsidR="00FE51A3" w:rsidRDefault="00FE51A3" w:rsidP="00A74D98">
            <w:pPr>
              <w:ind w:left="426"/>
              <w:jc w:val="both"/>
            </w:pPr>
            <w:r>
              <w:t>3.14. Дробление 1 ЦФА</w:t>
            </w:r>
          </w:p>
        </w:tc>
        <w:tc>
          <w:tcPr>
            <w:tcW w:w="7371" w:type="dxa"/>
          </w:tcPr>
          <w:p w:rsidR="00FE51A3" w:rsidRDefault="00FE51A3" w:rsidP="00EF2358">
            <w:pPr>
              <w:jc w:val="both"/>
            </w:pPr>
            <w:r>
              <w:t>Не предусмотрено</w:t>
            </w:r>
          </w:p>
        </w:tc>
      </w:tr>
      <w:tr w:rsidR="0026374C" w:rsidTr="00543DDE">
        <w:trPr>
          <w:trHeight w:val="4101"/>
        </w:trPr>
        <w:tc>
          <w:tcPr>
            <w:tcW w:w="2943" w:type="dxa"/>
            <w:shd w:val="clear" w:color="auto" w:fill="EAF1DD" w:themeFill="accent3" w:themeFillTint="33"/>
          </w:tcPr>
          <w:p w:rsidR="006D0188" w:rsidRDefault="007A5A39" w:rsidP="00D20B06">
            <w:pPr>
              <w:ind w:left="426"/>
              <w:jc w:val="both"/>
            </w:pPr>
            <w:r>
              <w:lastRenderedPageBreak/>
              <w:t>3.1</w:t>
            </w:r>
            <w:r w:rsidR="00FE51A3">
              <w:t>5</w:t>
            </w:r>
            <w:r>
              <w:t xml:space="preserve">. </w:t>
            </w:r>
            <w:r w:rsidR="00543DDE">
              <w:t>Указание на использование для выпуска цифровых финансовых активов сделок, предусматривающих исполнение сторонами возникающих из них обязательств при наступлении определенных обстоятельств без направленного на исполнение обязательств отдельно выраженного дополнительного волеизъявления сторон путем применения информационных технологий</w:t>
            </w:r>
            <w:r w:rsidR="00D20B06">
              <w:t>.</w:t>
            </w:r>
          </w:p>
        </w:tc>
        <w:tc>
          <w:tcPr>
            <w:tcW w:w="7371" w:type="dxa"/>
          </w:tcPr>
          <w:p w:rsidR="0026374C" w:rsidRDefault="00412217" w:rsidP="00412217">
            <w:pPr>
              <w:jc w:val="both"/>
            </w:pPr>
            <w:r w:rsidRPr="00835B0F">
              <w:t xml:space="preserve">Для выпуска цифровых финансовых активов не </w:t>
            </w:r>
            <w:proofErr w:type="gramStart"/>
            <w:r w:rsidRPr="00835B0F">
              <w:t>используются  сделки</w:t>
            </w:r>
            <w:proofErr w:type="gramEnd"/>
            <w:r w:rsidRPr="00835B0F">
              <w:t>, предусматривающие исполнение сторонами возникающих из них обязательств при наступлении определенных обстоятельств без направленного на исполнение обязательств отдельно выраженного дополнительного волеизъявления сторон путем применения информационных технологий.</w:t>
            </w:r>
          </w:p>
          <w:p w:rsidR="007B5A06" w:rsidRDefault="007B5A06" w:rsidP="007B5A06">
            <w:pPr>
              <w:jc w:val="both"/>
            </w:pPr>
            <w:r w:rsidRPr="001165C0">
              <w:t xml:space="preserve">Эмитент акцептует </w:t>
            </w:r>
            <w:r w:rsidR="0032180B" w:rsidRPr="001165C0">
              <w:t xml:space="preserve"> заявку</w:t>
            </w:r>
            <w:r w:rsidRPr="001165C0">
              <w:t xml:space="preserve"> лиц</w:t>
            </w:r>
            <w:r w:rsidR="0032180B" w:rsidRPr="001165C0">
              <w:t>а</w:t>
            </w:r>
            <w:r w:rsidRPr="001165C0">
              <w:t>, указанн</w:t>
            </w:r>
            <w:r w:rsidR="0032180B" w:rsidRPr="001165C0">
              <w:t>ого</w:t>
            </w:r>
            <w:r w:rsidRPr="001165C0">
              <w:t xml:space="preserve"> в п.4.1. настоящего Решения о выпуске ЦФА</w:t>
            </w:r>
            <w:r w:rsidR="00033AD3" w:rsidRPr="001165C0">
              <w:t>, при исполнении им обязательств по оплате ЦФА при  размещении.</w:t>
            </w:r>
            <w:r w:rsidR="00033AD3">
              <w:t xml:space="preserve"> </w:t>
            </w:r>
          </w:p>
          <w:p w:rsidR="0032180B" w:rsidRPr="00835B0F" w:rsidRDefault="0032180B" w:rsidP="00033AD3">
            <w:pPr>
              <w:jc w:val="both"/>
            </w:pPr>
          </w:p>
        </w:tc>
      </w:tr>
      <w:tr w:rsidR="00EA4E30" w:rsidTr="00A74D98">
        <w:tc>
          <w:tcPr>
            <w:tcW w:w="2943" w:type="dxa"/>
            <w:shd w:val="clear" w:color="auto" w:fill="EAF1DD" w:themeFill="accent3" w:themeFillTint="33"/>
          </w:tcPr>
          <w:p w:rsidR="00EA4E30" w:rsidRDefault="007A5A39" w:rsidP="00FE51A3">
            <w:pPr>
              <w:ind w:left="426"/>
              <w:jc w:val="both"/>
            </w:pPr>
            <w:r>
              <w:t>3.1</w:t>
            </w:r>
            <w:r w:rsidR="00FE51A3">
              <w:t>6</w:t>
            </w:r>
            <w:r>
              <w:t xml:space="preserve">. </w:t>
            </w:r>
            <w:r w:rsidR="00EA4E30">
              <w:t>Обеспечение исполнения обязательств третьими лицами (при наличии)</w:t>
            </w:r>
          </w:p>
        </w:tc>
        <w:tc>
          <w:tcPr>
            <w:tcW w:w="7371" w:type="dxa"/>
          </w:tcPr>
          <w:p w:rsidR="00EA4E30" w:rsidRDefault="00412217" w:rsidP="001859F3">
            <w:pPr>
              <w:jc w:val="both"/>
            </w:pPr>
            <w:r>
              <w:t xml:space="preserve">Нет обеспечения </w:t>
            </w:r>
          </w:p>
        </w:tc>
      </w:tr>
      <w:tr w:rsidR="00EA4E30" w:rsidTr="00A74D98">
        <w:tc>
          <w:tcPr>
            <w:tcW w:w="2943" w:type="dxa"/>
            <w:shd w:val="clear" w:color="auto" w:fill="EAF1DD" w:themeFill="accent3" w:themeFillTint="33"/>
          </w:tcPr>
          <w:p w:rsidR="00EA4E30" w:rsidRDefault="007A5A39" w:rsidP="00CF158A">
            <w:pPr>
              <w:ind w:left="426"/>
              <w:jc w:val="both"/>
            </w:pPr>
            <w:r>
              <w:t>3.1</w:t>
            </w:r>
            <w:r w:rsidR="00FE51A3">
              <w:t>7</w:t>
            </w:r>
            <w:r>
              <w:t xml:space="preserve">. </w:t>
            </w:r>
            <w:r w:rsidR="00EA4E30">
              <w:t>Ограничение ответственности эмитента ЦФА</w:t>
            </w:r>
          </w:p>
        </w:tc>
        <w:tc>
          <w:tcPr>
            <w:tcW w:w="7371" w:type="dxa"/>
          </w:tcPr>
          <w:p w:rsidR="00EA4E30" w:rsidRDefault="00412217" w:rsidP="00C0669A">
            <w:pPr>
              <w:jc w:val="both"/>
            </w:pPr>
            <w:r>
              <w:t>Не ограничена</w:t>
            </w:r>
          </w:p>
        </w:tc>
      </w:tr>
      <w:tr w:rsidR="009D4FB7" w:rsidTr="00A74D98">
        <w:tc>
          <w:tcPr>
            <w:tcW w:w="2943" w:type="dxa"/>
            <w:shd w:val="clear" w:color="auto" w:fill="EAF1DD" w:themeFill="accent3" w:themeFillTint="33"/>
          </w:tcPr>
          <w:p w:rsidR="009D4FB7" w:rsidRDefault="007A5A39" w:rsidP="00FE51A3">
            <w:pPr>
              <w:ind w:left="426"/>
              <w:jc w:val="both"/>
            </w:pPr>
            <w:r>
              <w:t>3.1</w:t>
            </w:r>
            <w:r w:rsidR="00FE51A3">
              <w:t>8</w:t>
            </w:r>
            <w:r>
              <w:t xml:space="preserve">. </w:t>
            </w:r>
            <w:r w:rsidR="009D4FB7">
              <w:t>Доступность вторичного обращения</w:t>
            </w:r>
          </w:p>
        </w:tc>
        <w:tc>
          <w:tcPr>
            <w:tcW w:w="7371" w:type="dxa"/>
          </w:tcPr>
          <w:p w:rsidR="00FF4ABC" w:rsidRPr="00CF158A" w:rsidRDefault="00FF4ABC" w:rsidP="00C0669A">
            <w:pPr>
              <w:jc w:val="both"/>
              <w:rPr>
                <w:color w:val="000000" w:themeColor="text1"/>
              </w:rPr>
            </w:pPr>
            <w:r w:rsidRPr="00CF158A">
              <w:rPr>
                <w:color w:val="000000" w:themeColor="text1"/>
              </w:rPr>
              <w:t>Не доступно</w:t>
            </w:r>
          </w:p>
        </w:tc>
      </w:tr>
      <w:tr w:rsidR="0020744E" w:rsidTr="00A74D98">
        <w:tc>
          <w:tcPr>
            <w:tcW w:w="2943" w:type="dxa"/>
            <w:shd w:val="clear" w:color="auto" w:fill="EAF1DD" w:themeFill="accent3" w:themeFillTint="33"/>
          </w:tcPr>
          <w:p w:rsidR="0020744E" w:rsidRDefault="007A5A39" w:rsidP="00FE51A3">
            <w:pPr>
              <w:ind w:left="426"/>
              <w:jc w:val="both"/>
            </w:pPr>
            <w:r>
              <w:t>3.1</w:t>
            </w:r>
            <w:r w:rsidR="00FE51A3">
              <w:t>9</w:t>
            </w:r>
            <w:r>
              <w:t xml:space="preserve">. </w:t>
            </w:r>
            <w:r w:rsidR="0020744E">
              <w:t>Дополнительная информация</w:t>
            </w:r>
          </w:p>
        </w:tc>
        <w:tc>
          <w:tcPr>
            <w:tcW w:w="7371" w:type="dxa"/>
          </w:tcPr>
          <w:p w:rsidR="0020744E" w:rsidRPr="00835B0F" w:rsidRDefault="0020744E" w:rsidP="00F12AA8">
            <w:pPr>
              <w:jc w:val="both"/>
              <w:rPr>
                <w:color w:val="000000" w:themeColor="text1"/>
              </w:rPr>
            </w:pPr>
            <w:r w:rsidRPr="00835B0F">
              <w:rPr>
                <w:color w:val="000000" w:themeColor="text1"/>
              </w:rPr>
              <w:t>Решение о выпуске публикуется только на сайте Оператора</w:t>
            </w:r>
            <w:r w:rsidR="00F12AA8" w:rsidRPr="00835B0F">
              <w:rPr>
                <w:color w:val="000000" w:themeColor="text1"/>
              </w:rPr>
              <w:t xml:space="preserve"> в соответствии с частью 6 статьи 3 Закона </w:t>
            </w:r>
            <w:r w:rsidR="00FE51A3" w:rsidRPr="00835B0F">
              <w:rPr>
                <w:color w:val="000000" w:themeColor="text1"/>
              </w:rPr>
              <w:t>о ЦФА.</w:t>
            </w:r>
          </w:p>
          <w:p w:rsidR="00835B0F" w:rsidRPr="00835B0F" w:rsidRDefault="0066584A" w:rsidP="00835B0F">
            <w:pPr>
              <w:jc w:val="both"/>
              <w:rPr>
                <w:color w:val="000000" w:themeColor="text1"/>
              </w:rPr>
            </w:pPr>
            <w:r w:rsidRPr="00835B0F">
              <w:rPr>
                <w:color w:val="000000" w:themeColor="text1"/>
              </w:rPr>
              <w:t xml:space="preserve">Решение о выпуске </w:t>
            </w:r>
            <w:r w:rsidR="001859F3" w:rsidRPr="00835B0F">
              <w:rPr>
                <w:color w:val="000000" w:themeColor="text1"/>
              </w:rPr>
              <w:t xml:space="preserve">в соответствии с требованиями Закона о ЦФА </w:t>
            </w:r>
            <w:r w:rsidRPr="00835B0F">
              <w:rPr>
                <w:color w:val="000000" w:themeColor="text1"/>
              </w:rPr>
              <w:t>адресовано определенному кругу лиц</w:t>
            </w:r>
            <w:r w:rsidR="00835B0F" w:rsidRPr="00835B0F">
              <w:rPr>
                <w:color w:val="000000" w:themeColor="text1"/>
              </w:rPr>
              <w:t>.</w:t>
            </w:r>
          </w:p>
          <w:p w:rsidR="0066584A" w:rsidRPr="00835B0F" w:rsidRDefault="0066584A" w:rsidP="0066584A">
            <w:pPr>
              <w:jc w:val="both"/>
              <w:rPr>
                <w:color w:val="000000" w:themeColor="text1"/>
              </w:rPr>
            </w:pPr>
          </w:p>
        </w:tc>
      </w:tr>
      <w:tr w:rsidR="00C1340F" w:rsidTr="00A74D98">
        <w:tc>
          <w:tcPr>
            <w:tcW w:w="10314" w:type="dxa"/>
            <w:gridSpan w:val="2"/>
            <w:shd w:val="clear" w:color="auto" w:fill="C2D69B" w:themeFill="accent3" w:themeFillTint="99"/>
          </w:tcPr>
          <w:p w:rsidR="00C1340F" w:rsidRPr="007A5A39" w:rsidRDefault="00C1340F" w:rsidP="007A5A39">
            <w:pPr>
              <w:pStyle w:val="a4"/>
              <w:numPr>
                <w:ilvl w:val="0"/>
                <w:numId w:val="3"/>
              </w:numPr>
              <w:jc w:val="both"/>
              <w:rPr>
                <w:b/>
              </w:rPr>
            </w:pPr>
            <w:r w:rsidRPr="007A5A39">
              <w:rPr>
                <w:b/>
              </w:rPr>
              <w:t>Круг лиц, участвующих в сделках размещения</w:t>
            </w:r>
          </w:p>
        </w:tc>
      </w:tr>
      <w:tr w:rsidR="00C1340F" w:rsidTr="00A74D98">
        <w:tc>
          <w:tcPr>
            <w:tcW w:w="2943" w:type="dxa"/>
            <w:shd w:val="clear" w:color="auto" w:fill="EAF1DD" w:themeFill="accent3" w:themeFillTint="33"/>
          </w:tcPr>
          <w:p w:rsidR="00C1340F" w:rsidRDefault="00C1340F" w:rsidP="00A74D98">
            <w:pPr>
              <w:pStyle w:val="a4"/>
              <w:numPr>
                <w:ilvl w:val="1"/>
                <w:numId w:val="3"/>
              </w:numPr>
              <w:ind w:left="426"/>
              <w:jc w:val="both"/>
            </w:pPr>
            <w:r>
              <w:t>Список лиц, участвующих в сделках размещения (ИНН, ФИО/Наименование)</w:t>
            </w:r>
          </w:p>
        </w:tc>
        <w:tc>
          <w:tcPr>
            <w:tcW w:w="7371" w:type="dxa"/>
          </w:tcPr>
          <w:p w:rsidR="00C1340F" w:rsidRDefault="00B508C5" w:rsidP="00C0669A">
            <w:pPr>
              <w:jc w:val="both"/>
            </w:pPr>
            <w:r>
              <w:t>Акционерное общество «Либра холдингс»</w:t>
            </w:r>
          </w:p>
          <w:p w:rsidR="00D867E8" w:rsidRDefault="00D867E8" w:rsidP="00C0669A">
            <w:pPr>
              <w:jc w:val="both"/>
            </w:pPr>
            <w:r>
              <w:t xml:space="preserve">ИНН </w:t>
            </w:r>
            <w:r w:rsidR="00B508C5" w:rsidRPr="00B508C5">
              <w:t>7730263936</w:t>
            </w:r>
          </w:p>
        </w:tc>
      </w:tr>
      <w:tr w:rsidR="00C1340F" w:rsidTr="00A74D98">
        <w:tc>
          <w:tcPr>
            <w:tcW w:w="2943" w:type="dxa"/>
            <w:shd w:val="clear" w:color="auto" w:fill="EAF1DD" w:themeFill="accent3" w:themeFillTint="33"/>
          </w:tcPr>
          <w:p w:rsidR="00C1340F" w:rsidRDefault="00C1340F" w:rsidP="00A74D98">
            <w:pPr>
              <w:pStyle w:val="a4"/>
              <w:numPr>
                <w:ilvl w:val="1"/>
                <w:numId w:val="3"/>
              </w:numPr>
              <w:ind w:left="426"/>
              <w:jc w:val="both"/>
            </w:pPr>
            <w:r>
              <w:t xml:space="preserve">Доступность ЦФА </w:t>
            </w:r>
          </w:p>
        </w:tc>
        <w:tc>
          <w:tcPr>
            <w:tcW w:w="7371" w:type="dxa"/>
          </w:tcPr>
          <w:p w:rsidR="00C1340F" w:rsidRPr="00C0669A" w:rsidRDefault="00412217" w:rsidP="00610F2F">
            <w:pPr>
              <w:jc w:val="both"/>
              <w:rPr>
                <w:i/>
              </w:rPr>
            </w:pPr>
            <w:r>
              <w:rPr>
                <w:i/>
              </w:rPr>
              <w:t xml:space="preserve">Юридические лица – </w:t>
            </w:r>
            <w:r w:rsidR="00C1340F" w:rsidRPr="00C0669A">
              <w:rPr>
                <w:i/>
              </w:rPr>
              <w:t>неквалифицированны</w:t>
            </w:r>
            <w:r>
              <w:rPr>
                <w:i/>
              </w:rPr>
              <w:t xml:space="preserve">е </w:t>
            </w:r>
            <w:r w:rsidR="00C1340F" w:rsidRPr="00C0669A">
              <w:rPr>
                <w:i/>
              </w:rPr>
              <w:t xml:space="preserve"> инвестор</w:t>
            </w:r>
            <w:r>
              <w:rPr>
                <w:i/>
              </w:rPr>
              <w:t>ы</w:t>
            </w:r>
            <w:r w:rsidR="0020744E">
              <w:rPr>
                <w:i/>
              </w:rPr>
              <w:t xml:space="preserve"> из списка лиц, участвующих в сделках размещения</w:t>
            </w:r>
            <w:r w:rsidR="00610F2F">
              <w:rPr>
                <w:i/>
              </w:rPr>
              <w:t xml:space="preserve"> Решение о выпуске акций АО «</w:t>
            </w:r>
            <w:proofErr w:type="spellStart"/>
            <w:r w:rsidR="00610F2F">
              <w:rPr>
                <w:i/>
              </w:rPr>
              <w:t>Таурус</w:t>
            </w:r>
            <w:proofErr w:type="spellEnd"/>
            <w:r w:rsidR="00610F2F">
              <w:rPr>
                <w:i/>
              </w:rPr>
              <w:t xml:space="preserve">» не содержит требования </w:t>
            </w:r>
            <w:r w:rsidR="00610F2F" w:rsidRPr="00610F2F">
              <w:rPr>
                <w:rFonts w:ascii="Arial" w:hAnsi="Arial" w:cs="Arial"/>
                <w:sz w:val="24"/>
                <w:szCs w:val="24"/>
              </w:rPr>
              <w:t xml:space="preserve"> </w:t>
            </w:r>
            <w:r w:rsidR="00610F2F" w:rsidRPr="00610F2F">
              <w:rPr>
                <w:i/>
              </w:rPr>
              <w:t>приобретения указанных акций  исключительно лицами, являющимися квалифицированными инвесторами.</w:t>
            </w:r>
          </w:p>
        </w:tc>
      </w:tr>
      <w:tr w:rsidR="00C1340F" w:rsidTr="00A74D98">
        <w:tc>
          <w:tcPr>
            <w:tcW w:w="2943" w:type="dxa"/>
            <w:shd w:val="clear" w:color="auto" w:fill="EAF1DD" w:themeFill="accent3" w:themeFillTint="33"/>
          </w:tcPr>
          <w:p w:rsidR="00C1340F" w:rsidRDefault="00C1340F" w:rsidP="00A74D98">
            <w:pPr>
              <w:pStyle w:val="a4"/>
              <w:numPr>
                <w:ilvl w:val="1"/>
                <w:numId w:val="3"/>
              </w:numPr>
              <w:ind w:left="426"/>
              <w:jc w:val="both"/>
            </w:pPr>
            <w:r>
              <w:t>Приобретение в рамках годового лимита</w:t>
            </w:r>
          </w:p>
        </w:tc>
        <w:tc>
          <w:tcPr>
            <w:tcW w:w="7371" w:type="dxa"/>
          </w:tcPr>
          <w:p w:rsidR="00C1340F" w:rsidRDefault="0020744E" w:rsidP="00C0669A">
            <w:pPr>
              <w:jc w:val="both"/>
            </w:pPr>
            <w:r>
              <w:t>ЦФА приобретаются без соблюдения годового лимита</w:t>
            </w:r>
          </w:p>
        </w:tc>
      </w:tr>
      <w:tr w:rsidR="00EF79F5" w:rsidTr="00A74D98">
        <w:tc>
          <w:tcPr>
            <w:tcW w:w="10314" w:type="dxa"/>
            <w:gridSpan w:val="2"/>
            <w:shd w:val="clear" w:color="auto" w:fill="C2D69B" w:themeFill="accent3" w:themeFillTint="99"/>
          </w:tcPr>
          <w:p w:rsidR="00EF79F5" w:rsidRPr="00023A0B" w:rsidRDefault="00EF79F5" w:rsidP="00023A0B">
            <w:pPr>
              <w:pStyle w:val="a4"/>
              <w:numPr>
                <w:ilvl w:val="0"/>
                <w:numId w:val="3"/>
              </w:numPr>
              <w:jc w:val="both"/>
              <w:rPr>
                <w:b/>
              </w:rPr>
            </w:pPr>
            <w:r w:rsidRPr="00023A0B">
              <w:rPr>
                <w:b/>
              </w:rPr>
              <w:t>Условия погашения</w:t>
            </w:r>
            <w:r w:rsidR="0066584A" w:rsidRPr="00023A0B">
              <w:rPr>
                <w:b/>
              </w:rPr>
              <w:t xml:space="preserve"> ЦФА</w:t>
            </w:r>
          </w:p>
        </w:tc>
      </w:tr>
      <w:tr w:rsidR="00D97D0E" w:rsidTr="00A74D98">
        <w:tc>
          <w:tcPr>
            <w:tcW w:w="2943" w:type="dxa"/>
            <w:shd w:val="clear" w:color="auto" w:fill="EAF1DD" w:themeFill="accent3" w:themeFillTint="33"/>
          </w:tcPr>
          <w:p w:rsidR="00D97D0E" w:rsidRDefault="00D938C7" w:rsidP="00A74D98">
            <w:pPr>
              <w:pStyle w:val="a4"/>
              <w:numPr>
                <w:ilvl w:val="1"/>
                <w:numId w:val="3"/>
              </w:numPr>
              <w:ind w:left="426"/>
              <w:jc w:val="both"/>
            </w:pPr>
            <w:r>
              <w:t>Цена</w:t>
            </w:r>
            <w:r w:rsidR="00D97D0E">
              <w:t xml:space="preserve"> погашения ЦФА </w:t>
            </w:r>
          </w:p>
        </w:tc>
        <w:tc>
          <w:tcPr>
            <w:tcW w:w="7371" w:type="dxa"/>
          </w:tcPr>
          <w:p w:rsidR="00D97D0E" w:rsidRPr="006D0188" w:rsidRDefault="00FF4ABC" w:rsidP="00A47434">
            <w:pPr>
              <w:jc w:val="both"/>
              <w:rPr>
                <w:color w:val="FF0000"/>
              </w:rPr>
            </w:pPr>
            <w:r>
              <w:t>75 000</w:t>
            </w:r>
            <w:r w:rsidR="00D867E8">
              <w:t xml:space="preserve"> рублей</w:t>
            </w:r>
            <w:r w:rsidR="006D0188">
              <w:t xml:space="preserve"> </w:t>
            </w:r>
            <w:r w:rsidR="0066584A" w:rsidRPr="00A47434">
              <w:t>в случа</w:t>
            </w:r>
            <w:r w:rsidR="006A4C03" w:rsidRPr="00A47434">
              <w:t>е</w:t>
            </w:r>
            <w:r w:rsidR="0066584A" w:rsidRPr="00A47434">
              <w:t>, е</w:t>
            </w:r>
            <w:r w:rsidR="006A4C03" w:rsidRPr="00A47434">
              <w:t>сли владелец</w:t>
            </w:r>
            <w:r w:rsidR="00A47434">
              <w:t xml:space="preserve"> ЦФА</w:t>
            </w:r>
            <w:r w:rsidR="006A4C03" w:rsidRPr="00A47434">
              <w:t xml:space="preserve"> </w:t>
            </w:r>
            <w:r w:rsidR="00A47434" w:rsidRPr="00A47434">
              <w:t>не воспользовался правом требования передачи 1 обыкновенной  акции Акционерного общества «Таурус»</w:t>
            </w:r>
          </w:p>
        </w:tc>
      </w:tr>
      <w:tr w:rsidR="00D97D0E" w:rsidTr="00A74D98">
        <w:tc>
          <w:tcPr>
            <w:tcW w:w="2943" w:type="dxa"/>
            <w:shd w:val="clear" w:color="auto" w:fill="EAF1DD" w:themeFill="accent3" w:themeFillTint="33"/>
          </w:tcPr>
          <w:p w:rsidR="00D97D0E" w:rsidRDefault="00EF2358" w:rsidP="00C80699">
            <w:pPr>
              <w:pStyle w:val="a4"/>
              <w:numPr>
                <w:ilvl w:val="1"/>
                <w:numId w:val="3"/>
              </w:numPr>
              <w:ind w:left="426"/>
              <w:jc w:val="both"/>
            </w:pPr>
            <w:r>
              <w:t>Д</w:t>
            </w:r>
            <w:r w:rsidR="00D97D0E">
              <w:t>ата погашения ЦФА</w:t>
            </w:r>
            <w:r>
              <w:t xml:space="preserve"> </w:t>
            </w:r>
          </w:p>
        </w:tc>
        <w:tc>
          <w:tcPr>
            <w:tcW w:w="7371" w:type="dxa"/>
          </w:tcPr>
          <w:p w:rsidR="00C80699" w:rsidRPr="00263188" w:rsidRDefault="0066584A" w:rsidP="00C0669A">
            <w:pPr>
              <w:jc w:val="both"/>
              <w:rPr>
                <w:b/>
                <w:color w:val="000000" w:themeColor="text1"/>
              </w:rPr>
            </w:pPr>
            <w:r w:rsidRPr="00263188">
              <w:rPr>
                <w:color w:val="000000" w:themeColor="text1"/>
              </w:rPr>
              <w:t>Эмитент</w:t>
            </w:r>
            <w:r w:rsidR="00C80699" w:rsidRPr="00263188">
              <w:rPr>
                <w:color w:val="000000" w:themeColor="text1"/>
              </w:rPr>
              <w:t xml:space="preserve"> осуществляет полное исполнение обязательства, удостоверенного ЦФА </w:t>
            </w:r>
            <w:r w:rsidR="00364CE6" w:rsidRPr="00263188">
              <w:rPr>
                <w:b/>
                <w:color w:val="000000" w:themeColor="text1"/>
              </w:rPr>
              <w:t>01</w:t>
            </w:r>
            <w:r w:rsidR="008739CF" w:rsidRPr="00263188">
              <w:rPr>
                <w:b/>
                <w:color w:val="000000" w:themeColor="text1"/>
              </w:rPr>
              <w:t>.</w:t>
            </w:r>
            <w:r w:rsidR="00364CE6" w:rsidRPr="00263188">
              <w:rPr>
                <w:b/>
                <w:color w:val="000000" w:themeColor="text1"/>
              </w:rPr>
              <w:t>1</w:t>
            </w:r>
            <w:r w:rsidR="008739CF" w:rsidRPr="00263188">
              <w:rPr>
                <w:b/>
                <w:color w:val="000000" w:themeColor="text1"/>
              </w:rPr>
              <w:t>0.2025</w:t>
            </w:r>
            <w:r w:rsidR="00364CE6" w:rsidRPr="00263188">
              <w:rPr>
                <w:b/>
                <w:color w:val="000000" w:themeColor="text1"/>
              </w:rPr>
              <w:t xml:space="preserve"> </w:t>
            </w:r>
          </w:p>
          <w:p w:rsidR="003413AD" w:rsidRPr="00263188" w:rsidRDefault="0066584A" w:rsidP="00C0669A">
            <w:pPr>
              <w:jc w:val="both"/>
              <w:rPr>
                <w:color w:val="000000" w:themeColor="text1"/>
              </w:rPr>
            </w:pPr>
            <w:r w:rsidRPr="00263188">
              <w:rPr>
                <w:color w:val="000000" w:themeColor="text1"/>
              </w:rPr>
              <w:t xml:space="preserve"> </w:t>
            </w:r>
          </w:p>
        </w:tc>
      </w:tr>
      <w:tr w:rsidR="00F2573F" w:rsidTr="00A74D98">
        <w:tc>
          <w:tcPr>
            <w:tcW w:w="2943" w:type="dxa"/>
            <w:shd w:val="clear" w:color="auto" w:fill="EAF1DD" w:themeFill="accent3" w:themeFillTint="33"/>
          </w:tcPr>
          <w:p w:rsidR="00F2573F" w:rsidRDefault="00F2573F" w:rsidP="00D262D2">
            <w:pPr>
              <w:pStyle w:val="a4"/>
              <w:numPr>
                <w:ilvl w:val="1"/>
                <w:numId w:val="3"/>
              </w:numPr>
              <w:ind w:left="426"/>
              <w:jc w:val="both"/>
            </w:pPr>
            <w:r>
              <w:t xml:space="preserve">Порядок погашения записи о ЦФА </w:t>
            </w:r>
          </w:p>
        </w:tc>
        <w:tc>
          <w:tcPr>
            <w:tcW w:w="7371" w:type="dxa"/>
          </w:tcPr>
          <w:p w:rsidR="00F2573F" w:rsidRPr="00263188" w:rsidRDefault="00F2573F" w:rsidP="00F2573F">
            <w:pPr>
              <w:jc w:val="both"/>
              <w:rPr>
                <w:color w:val="000000" w:themeColor="text1"/>
              </w:rPr>
            </w:pPr>
            <w:r w:rsidRPr="00263188">
              <w:rPr>
                <w:b/>
                <w:color w:val="000000" w:themeColor="text1"/>
              </w:rPr>
              <w:t>Обязательства, удостоверенные ЦФА, исполняются в соответствии с порядком, указанным в пунктах 2.4 – 2.14 Специальных условий Правил</w:t>
            </w:r>
          </w:p>
        </w:tc>
      </w:tr>
      <w:tr w:rsidR="00D97D0E" w:rsidTr="00A74D98">
        <w:tc>
          <w:tcPr>
            <w:tcW w:w="2943" w:type="dxa"/>
            <w:shd w:val="clear" w:color="auto" w:fill="EAF1DD" w:themeFill="accent3" w:themeFillTint="33"/>
          </w:tcPr>
          <w:p w:rsidR="00EF79F5" w:rsidRPr="00D97D0E" w:rsidRDefault="0026374C" w:rsidP="00A74D98">
            <w:pPr>
              <w:pStyle w:val="a4"/>
              <w:numPr>
                <w:ilvl w:val="1"/>
                <w:numId w:val="3"/>
              </w:numPr>
              <w:ind w:left="426"/>
              <w:jc w:val="both"/>
            </w:pPr>
            <w:r>
              <w:lastRenderedPageBreak/>
              <w:t xml:space="preserve">Срок, в течение которого может быть реализовано право требовать передачи эмиссионных ценных бумаг </w:t>
            </w:r>
          </w:p>
        </w:tc>
        <w:tc>
          <w:tcPr>
            <w:tcW w:w="7371" w:type="dxa"/>
          </w:tcPr>
          <w:p w:rsidR="00D97D0E" w:rsidRPr="00263188" w:rsidRDefault="00D347C1" w:rsidP="000E72F6">
            <w:pPr>
              <w:jc w:val="both"/>
              <w:rPr>
                <w:color w:val="000000" w:themeColor="text1"/>
              </w:rPr>
            </w:pPr>
            <w:r w:rsidRPr="00263188">
              <w:rPr>
                <w:color w:val="000000" w:themeColor="text1"/>
              </w:rPr>
              <w:t xml:space="preserve">Владелец ЦФА может реализовать право требования передачи ценных бумаг </w:t>
            </w:r>
            <w:r w:rsidR="0066584A" w:rsidRPr="00263188">
              <w:rPr>
                <w:color w:val="000000" w:themeColor="text1"/>
              </w:rPr>
              <w:t xml:space="preserve">в срок </w:t>
            </w:r>
            <w:r w:rsidR="00A01EF1" w:rsidRPr="00263188">
              <w:rPr>
                <w:color w:val="000000" w:themeColor="text1"/>
              </w:rPr>
              <w:t xml:space="preserve">до </w:t>
            </w:r>
            <w:r w:rsidR="00FB4353" w:rsidRPr="00263188">
              <w:rPr>
                <w:b/>
                <w:color w:val="000000" w:themeColor="text1"/>
              </w:rPr>
              <w:t>2</w:t>
            </w:r>
            <w:r w:rsidR="000E72F6" w:rsidRPr="00263188">
              <w:rPr>
                <w:b/>
                <w:color w:val="000000" w:themeColor="text1"/>
              </w:rPr>
              <w:t>4</w:t>
            </w:r>
            <w:r w:rsidR="008739CF" w:rsidRPr="00263188">
              <w:rPr>
                <w:b/>
                <w:color w:val="000000" w:themeColor="text1"/>
              </w:rPr>
              <w:t>.0</w:t>
            </w:r>
            <w:r w:rsidR="00364CE6" w:rsidRPr="00263188">
              <w:rPr>
                <w:b/>
                <w:color w:val="000000" w:themeColor="text1"/>
              </w:rPr>
              <w:t>9</w:t>
            </w:r>
            <w:r w:rsidR="008739CF" w:rsidRPr="00263188">
              <w:rPr>
                <w:b/>
                <w:color w:val="000000" w:themeColor="text1"/>
              </w:rPr>
              <w:t>.2025</w:t>
            </w:r>
            <w:r w:rsidR="006D0188" w:rsidRPr="00263188">
              <w:rPr>
                <w:color w:val="000000" w:themeColor="text1"/>
              </w:rPr>
              <w:t xml:space="preserve"> </w:t>
            </w:r>
          </w:p>
        </w:tc>
      </w:tr>
      <w:tr w:rsidR="00FA2326" w:rsidTr="00A74D98">
        <w:tc>
          <w:tcPr>
            <w:tcW w:w="2943" w:type="dxa"/>
            <w:shd w:val="clear" w:color="auto" w:fill="EAF1DD" w:themeFill="accent3" w:themeFillTint="33"/>
          </w:tcPr>
          <w:p w:rsidR="00FA2326" w:rsidRDefault="00FA2326" w:rsidP="00A74D98">
            <w:pPr>
              <w:pStyle w:val="a4"/>
              <w:numPr>
                <w:ilvl w:val="1"/>
                <w:numId w:val="3"/>
              </w:numPr>
              <w:ind w:left="426"/>
              <w:jc w:val="both"/>
            </w:pPr>
            <w:r>
              <w:t>Информация для владельца</w:t>
            </w:r>
          </w:p>
        </w:tc>
        <w:tc>
          <w:tcPr>
            <w:tcW w:w="7371" w:type="dxa"/>
          </w:tcPr>
          <w:p w:rsidR="008C16C8" w:rsidRDefault="00FA2326" w:rsidP="00F20965">
            <w:pPr>
              <w:pStyle w:val="a4"/>
              <w:numPr>
                <w:ilvl w:val="0"/>
                <w:numId w:val="2"/>
              </w:numPr>
              <w:ind w:left="34" w:firstLine="165"/>
              <w:jc w:val="both"/>
            </w:pPr>
            <w:r w:rsidRPr="0066584A">
              <w:rPr>
                <w:b/>
              </w:rPr>
              <w:t>При реализации права на требование передачи ценной бумаги</w:t>
            </w:r>
            <w:r w:rsidR="009D4FB7">
              <w:t xml:space="preserve"> владельцу ЦФА</w:t>
            </w:r>
            <w:r>
              <w:t xml:space="preserve"> следует открыть в реестре владельцев ценных бумаг</w:t>
            </w:r>
            <w:r w:rsidR="00D347C1">
              <w:t xml:space="preserve"> АО «Таурус»</w:t>
            </w:r>
            <w:r>
              <w:t xml:space="preserve"> лицевой счёт (при его отсутствии) в </w:t>
            </w:r>
            <w:r w:rsidR="00E06650">
              <w:t>регистраторе, осуществляющем ведение реестра</w:t>
            </w:r>
            <w:r w:rsidR="00D347C1">
              <w:rPr>
                <w:b/>
              </w:rPr>
              <w:t xml:space="preserve"> АО «Таурус»</w:t>
            </w:r>
            <w:r w:rsidRPr="0066584A">
              <w:rPr>
                <w:b/>
              </w:rPr>
              <w:t xml:space="preserve">. </w:t>
            </w:r>
            <w:r w:rsidR="008C16C8" w:rsidRPr="008C16C8">
              <w:t xml:space="preserve">Открытие </w:t>
            </w:r>
            <w:r w:rsidR="00E06650">
              <w:t xml:space="preserve">лицевого счёта в реестре </w:t>
            </w:r>
            <w:r w:rsidR="008C16C8" w:rsidRPr="008C16C8">
              <w:t xml:space="preserve">проводится в </w:t>
            </w:r>
            <w:r w:rsidR="00744F95">
              <w:t xml:space="preserve">порядке и </w:t>
            </w:r>
            <w:r w:rsidR="008C16C8" w:rsidRPr="008C16C8">
              <w:t>сроки, установленные</w:t>
            </w:r>
            <w:r w:rsidR="008C16C8" w:rsidRPr="0066584A">
              <w:rPr>
                <w:b/>
              </w:rPr>
              <w:t xml:space="preserve"> </w:t>
            </w:r>
            <w:r w:rsidR="00E06650">
              <w:t xml:space="preserve">регистратором в </w:t>
            </w:r>
            <w:r w:rsidR="008C16C8">
              <w:t>правила</w:t>
            </w:r>
            <w:r w:rsidR="00E06650">
              <w:t>х</w:t>
            </w:r>
            <w:r w:rsidR="008C16C8">
              <w:t xml:space="preserve"> ведения реестра.</w:t>
            </w:r>
          </w:p>
          <w:p w:rsidR="002A50CB" w:rsidRDefault="002A50CB" w:rsidP="002A50CB">
            <w:pPr>
              <w:jc w:val="both"/>
              <w:rPr>
                <w:b/>
              </w:rPr>
            </w:pPr>
          </w:p>
          <w:p w:rsidR="002A50CB" w:rsidRDefault="002A50CB" w:rsidP="002A50CB">
            <w:pPr>
              <w:jc w:val="both"/>
              <w:rPr>
                <w:b/>
              </w:rPr>
            </w:pPr>
            <w:r>
              <w:rPr>
                <w:b/>
              </w:rPr>
              <w:t>Реквизиты регистратора: АО «МРЦ»</w:t>
            </w:r>
          </w:p>
          <w:p w:rsidR="002A50CB" w:rsidRDefault="002A50CB" w:rsidP="002A50CB">
            <w:pPr>
              <w:jc w:val="both"/>
            </w:pPr>
            <w:r w:rsidRPr="0020744E">
              <w:t>105062, г. Москва, Подсосенский переулок, дом 26, стр. 2</w:t>
            </w:r>
          </w:p>
          <w:p w:rsidR="002A50CB" w:rsidRDefault="002A50CB" w:rsidP="002A50CB">
            <w:pPr>
              <w:jc w:val="both"/>
            </w:pPr>
            <w:r>
              <w:t xml:space="preserve">Адрес сайта </w:t>
            </w:r>
            <w:hyperlink r:id="rId8" w:history="1">
              <w:r w:rsidRPr="001D42C4">
                <w:rPr>
                  <w:rStyle w:val="a5"/>
                  <w:lang w:val="en-US"/>
                </w:rPr>
                <w:t>www</w:t>
              </w:r>
              <w:r w:rsidRPr="001D42C4">
                <w:rPr>
                  <w:rStyle w:val="a5"/>
                </w:rPr>
                <w:t>.</w:t>
              </w:r>
              <w:r w:rsidRPr="001D42C4">
                <w:rPr>
                  <w:rStyle w:val="a5"/>
                  <w:lang w:val="en-US"/>
                </w:rPr>
                <w:t>mrz</w:t>
              </w:r>
              <w:r w:rsidRPr="001D42C4">
                <w:rPr>
                  <w:rStyle w:val="a5"/>
                </w:rPr>
                <w:t>.</w:t>
              </w:r>
              <w:r w:rsidRPr="001D42C4">
                <w:rPr>
                  <w:rStyle w:val="a5"/>
                  <w:lang w:val="en-US"/>
                </w:rPr>
                <w:t>ru</w:t>
              </w:r>
            </w:hyperlink>
          </w:p>
          <w:p w:rsidR="002A50CB" w:rsidRDefault="002A50CB" w:rsidP="002A50CB">
            <w:pPr>
              <w:ind w:left="34"/>
              <w:jc w:val="both"/>
            </w:pPr>
          </w:p>
          <w:p w:rsidR="00FA2326" w:rsidRDefault="008C16C8" w:rsidP="00FA2326">
            <w:pPr>
              <w:jc w:val="both"/>
              <w:rPr>
                <w:b/>
              </w:rPr>
            </w:pPr>
            <w:r>
              <w:t xml:space="preserve">Номер </w:t>
            </w:r>
            <w:r w:rsidR="00FA2326" w:rsidRPr="00FA2326">
              <w:t>лицевого счёта владельца долж</w:t>
            </w:r>
            <w:r>
              <w:t>ен</w:t>
            </w:r>
            <w:r w:rsidR="00FA2326" w:rsidRPr="00FA2326">
              <w:t xml:space="preserve"> быть указан в личном кабинете владельца ЦФА</w:t>
            </w:r>
            <w:r w:rsidR="00E06650">
              <w:t>,</w:t>
            </w:r>
            <w:r w:rsidR="00FA2326" w:rsidRPr="00FA2326">
              <w:t xml:space="preserve"> в момент реализации права требования передачи ценных бумаг.</w:t>
            </w:r>
          </w:p>
          <w:p w:rsidR="00FA2326" w:rsidRPr="00E06650" w:rsidRDefault="00FA2326" w:rsidP="008C16C8">
            <w:pPr>
              <w:jc w:val="both"/>
            </w:pPr>
            <w:r w:rsidRPr="00E06650">
              <w:t xml:space="preserve">Эмитент  ЦФА передаёт </w:t>
            </w:r>
            <w:r w:rsidR="00D347C1">
              <w:t>акции АО «Таурус»</w:t>
            </w:r>
            <w:r w:rsidRPr="00E06650">
              <w:t xml:space="preserve"> путём </w:t>
            </w:r>
            <w:r w:rsidR="008C16C8" w:rsidRPr="00E06650">
              <w:t xml:space="preserve">подачи </w:t>
            </w:r>
            <w:r w:rsidR="00E06650" w:rsidRPr="00E06650">
              <w:t>регистратору</w:t>
            </w:r>
            <w:r w:rsidRPr="00E06650">
              <w:t xml:space="preserve"> распоряжения </w:t>
            </w:r>
            <w:r w:rsidR="00246F83">
              <w:t>о передаче</w:t>
            </w:r>
            <w:r w:rsidR="008C16C8" w:rsidRPr="00E06650">
              <w:t xml:space="preserve"> соответствующих ценных бумаг на счёт</w:t>
            </w:r>
            <w:r w:rsidR="00E06650" w:rsidRPr="00E06650">
              <w:t xml:space="preserve"> в реестре</w:t>
            </w:r>
            <w:r w:rsidR="008C16C8" w:rsidRPr="00E06650">
              <w:t xml:space="preserve">, открытый ранее </w:t>
            </w:r>
            <w:r w:rsidR="00246F83">
              <w:t>В</w:t>
            </w:r>
            <w:r w:rsidR="008C16C8" w:rsidRPr="00E06650">
              <w:t>ладельцу ЦФА.</w:t>
            </w:r>
            <w:r w:rsidR="00744F95">
              <w:t xml:space="preserve"> </w:t>
            </w:r>
            <w:r w:rsidR="00246F83">
              <w:t>Р</w:t>
            </w:r>
            <w:r w:rsidR="00744F95">
              <w:t xml:space="preserve">аспоряжение </w:t>
            </w:r>
            <w:r w:rsidR="00246F83">
              <w:t xml:space="preserve">о передаче акций </w:t>
            </w:r>
            <w:r w:rsidR="00744F95">
              <w:t xml:space="preserve">подаётся </w:t>
            </w:r>
            <w:r w:rsidR="00744F95" w:rsidRPr="008C16C8">
              <w:t xml:space="preserve">в </w:t>
            </w:r>
            <w:r w:rsidR="00744F95">
              <w:t xml:space="preserve">порядке и </w:t>
            </w:r>
            <w:r w:rsidR="00744F95" w:rsidRPr="008C16C8">
              <w:t>сроки, установленные</w:t>
            </w:r>
            <w:r w:rsidR="00744F95">
              <w:rPr>
                <w:b/>
              </w:rPr>
              <w:t xml:space="preserve"> </w:t>
            </w:r>
            <w:r w:rsidR="00744F95">
              <w:t>регистратором в правилах ведения реестра.</w:t>
            </w:r>
          </w:p>
          <w:p w:rsidR="00D347C1" w:rsidRPr="00D347C1" w:rsidRDefault="00D347C1" w:rsidP="00D347C1">
            <w:pPr>
              <w:jc w:val="both"/>
              <w:rPr>
                <w:rFonts w:cstheme="minorHAnsi"/>
                <w:b/>
                <w:color w:val="000000" w:themeColor="text1"/>
                <w:szCs w:val="24"/>
              </w:rPr>
            </w:pPr>
            <w:r w:rsidRPr="00D347C1">
              <w:rPr>
                <w:rFonts w:cstheme="minorHAnsi"/>
                <w:b/>
                <w:color w:val="000000" w:themeColor="text1"/>
                <w:szCs w:val="24"/>
              </w:rPr>
              <w:t xml:space="preserve">Обязательство по передаче ценных бумаг считается исполненным в момент </w:t>
            </w:r>
            <w:r w:rsidRPr="00D347C1">
              <w:rPr>
                <w:rFonts w:cstheme="minorHAnsi"/>
                <w:b/>
                <w:color w:val="000000" w:themeColor="text1"/>
                <w:szCs w:val="24"/>
                <w:shd w:val="clear" w:color="auto" w:fill="FFFFFF"/>
              </w:rPr>
              <w:t xml:space="preserve">внесения записи по лицевому счету Владельца ЦФА о зачислении </w:t>
            </w:r>
            <w:r w:rsidR="00246F83">
              <w:rPr>
                <w:rFonts w:cstheme="minorHAnsi"/>
                <w:b/>
                <w:color w:val="000000" w:themeColor="text1"/>
                <w:szCs w:val="24"/>
                <w:shd w:val="clear" w:color="auto" w:fill="FFFFFF"/>
              </w:rPr>
              <w:t>акций АО «Таурус» по распоряжению Эмитента ЦФА</w:t>
            </w:r>
            <w:r w:rsidRPr="00D347C1">
              <w:rPr>
                <w:rFonts w:cstheme="minorHAnsi"/>
                <w:b/>
                <w:color w:val="000000" w:themeColor="text1"/>
                <w:szCs w:val="24"/>
              </w:rPr>
              <w:t xml:space="preserve">. </w:t>
            </w:r>
          </w:p>
          <w:p w:rsidR="008C16C8" w:rsidRDefault="008C16C8" w:rsidP="00744F95">
            <w:pPr>
              <w:jc w:val="both"/>
              <w:rPr>
                <w:b/>
              </w:rPr>
            </w:pPr>
            <w:r>
              <w:rPr>
                <w:b/>
              </w:rPr>
              <w:t xml:space="preserve"> </w:t>
            </w:r>
            <w:r w:rsidRPr="00E06650">
              <w:t xml:space="preserve">Владелец ЦФА соглашается на погашение записи о ЦФА в ИС с обязательным приложением скан-копии выписки </w:t>
            </w:r>
            <w:r w:rsidR="009D57F2" w:rsidRPr="00E06650">
              <w:t>по своему</w:t>
            </w:r>
            <w:r w:rsidRPr="00E06650">
              <w:t xml:space="preserve"> лицево</w:t>
            </w:r>
            <w:r w:rsidR="009D57F2" w:rsidRPr="00E06650">
              <w:t>му</w:t>
            </w:r>
            <w:r w:rsidRPr="00E06650">
              <w:t xml:space="preserve"> счёт</w:t>
            </w:r>
            <w:r w:rsidR="009D57F2" w:rsidRPr="00E06650">
              <w:t>у</w:t>
            </w:r>
            <w:r>
              <w:rPr>
                <w:b/>
              </w:rPr>
              <w:t xml:space="preserve"> в реестр</w:t>
            </w:r>
            <w:r w:rsidR="009D57F2">
              <w:rPr>
                <w:b/>
              </w:rPr>
              <w:t>е</w:t>
            </w:r>
            <w:r>
              <w:rPr>
                <w:b/>
              </w:rPr>
              <w:t xml:space="preserve"> </w:t>
            </w:r>
            <w:r w:rsidR="00744F95">
              <w:rPr>
                <w:b/>
              </w:rPr>
              <w:t>владельцев</w:t>
            </w:r>
            <w:r>
              <w:rPr>
                <w:b/>
              </w:rPr>
              <w:t xml:space="preserve"> ценных бумаг.</w:t>
            </w:r>
          </w:p>
          <w:p w:rsidR="00AF7F42" w:rsidRPr="00D262D2" w:rsidRDefault="00AF7F42" w:rsidP="00D262D2">
            <w:pPr>
              <w:pStyle w:val="a4"/>
              <w:numPr>
                <w:ilvl w:val="0"/>
                <w:numId w:val="2"/>
              </w:numPr>
              <w:ind w:left="34" w:firstLine="165"/>
              <w:jc w:val="both"/>
            </w:pPr>
            <w:r w:rsidRPr="00D262D2">
              <w:t xml:space="preserve">Владелец ЦФА </w:t>
            </w:r>
            <w:r w:rsidR="00D262D2">
              <w:t xml:space="preserve">выражает </w:t>
            </w:r>
            <w:r w:rsidRPr="00D262D2">
              <w:t>согла</w:t>
            </w:r>
            <w:r w:rsidR="00D262D2">
              <w:t xml:space="preserve">сие </w:t>
            </w:r>
            <w:r w:rsidRPr="00D262D2">
              <w:t xml:space="preserve">на погашение записи о ЦФА в ИС путем </w:t>
            </w:r>
            <w:r w:rsidR="00D347C1" w:rsidRPr="00D262D2">
              <w:t>нажатия соответствующей кнопки в</w:t>
            </w:r>
            <w:r w:rsidRPr="00D262D2">
              <w:t xml:space="preserve"> своём личном кабинете.</w:t>
            </w:r>
          </w:p>
          <w:p w:rsidR="003413AD" w:rsidRPr="0066584A" w:rsidRDefault="003413AD" w:rsidP="003413AD">
            <w:pPr>
              <w:pStyle w:val="a4"/>
              <w:ind w:left="0"/>
              <w:jc w:val="both"/>
            </w:pPr>
          </w:p>
        </w:tc>
      </w:tr>
      <w:tr w:rsidR="00D97D0E" w:rsidTr="00A74D98">
        <w:tc>
          <w:tcPr>
            <w:tcW w:w="2943" w:type="dxa"/>
            <w:shd w:val="clear" w:color="auto" w:fill="EAF1DD" w:themeFill="accent3" w:themeFillTint="33"/>
          </w:tcPr>
          <w:p w:rsidR="00D97D0E" w:rsidRDefault="00EF79F5" w:rsidP="00A74D98">
            <w:pPr>
              <w:pStyle w:val="a4"/>
              <w:numPr>
                <w:ilvl w:val="1"/>
                <w:numId w:val="3"/>
              </w:numPr>
              <w:ind w:left="426"/>
              <w:jc w:val="both"/>
            </w:pPr>
            <w:r>
              <w:t>Информация о наличии преимущественного права</w:t>
            </w:r>
            <w:r w:rsidR="00AF7F42">
              <w:t xml:space="preserve"> </w:t>
            </w:r>
          </w:p>
        </w:tc>
        <w:tc>
          <w:tcPr>
            <w:tcW w:w="7371" w:type="dxa"/>
          </w:tcPr>
          <w:p w:rsidR="00D97D0E" w:rsidRDefault="00AF7F42" w:rsidP="002A50CB">
            <w:pPr>
              <w:jc w:val="both"/>
            </w:pPr>
            <w:r>
              <w:t xml:space="preserve">Уставом   АО «Таурус» не предусмотрено преимущественное право </w:t>
            </w:r>
            <w:r w:rsidRPr="00AF7F42">
              <w:t>приобретения его акционерами акций, отчуждаемых по возмездным сделкам другими акционерами</w:t>
            </w:r>
            <w:r w:rsidR="002A50CB">
              <w:t xml:space="preserve"> (пункт 3 статьи 7 Закон №208-ФЗ</w:t>
            </w:r>
            <w:proofErr w:type="gramStart"/>
            <w:r w:rsidR="002A50CB">
              <w:t xml:space="preserve">) </w:t>
            </w:r>
            <w:r>
              <w:t>.</w:t>
            </w:r>
            <w:proofErr w:type="gramEnd"/>
            <w:r>
              <w:t xml:space="preserve">  </w:t>
            </w:r>
          </w:p>
        </w:tc>
      </w:tr>
      <w:tr w:rsidR="00EF79F5" w:rsidRPr="00EF79F5" w:rsidTr="00A74D98">
        <w:tc>
          <w:tcPr>
            <w:tcW w:w="10314" w:type="dxa"/>
            <w:gridSpan w:val="2"/>
            <w:shd w:val="clear" w:color="auto" w:fill="C2D69B" w:themeFill="accent3" w:themeFillTint="99"/>
          </w:tcPr>
          <w:p w:rsidR="00EF79F5" w:rsidRPr="00023A0B" w:rsidRDefault="00EF79F5" w:rsidP="00023A0B">
            <w:pPr>
              <w:pStyle w:val="a4"/>
              <w:numPr>
                <w:ilvl w:val="0"/>
                <w:numId w:val="3"/>
              </w:numPr>
              <w:jc w:val="both"/>
              <w:rPr>
                <w:b/>
              </w:rPr>
            </w:pPr>
            <w:r w:rsidRPr="00023A0B">
              <w:rPr>
                <w:b/>
              </w:rPr>
              <w:t>Условия досрочного погашения</w:t>
            </w:r>
            <w:r w:rsidR="00EF2358">
              <w:rPr>
                <w:b/>
              </w:rPr>
              <w:t xml:space="preserve"> по инициативе Владельца</w:t>
            </w:r>
          </w:p>
        </w:tc>
      </w:tr>
      <w:tr w:rsidR="00D97D0E" w:rsidTr="00A74D98">
        <w:tc>
          <w:tcPr>
            <w:tcW w:w="2943" w:type="dxa"/>
            <w:shd w:val="clear" w:color="auto" w:fill="EAF1DD" w:themeFill="accent3" w:themeFillTint="33"/>
          </w:tcPr>
          <w:p w:rsidR="00D97D0E" w:rsidRDefault="00EF79F5" w:rsidP="00A74D98">
            <w:pPr>
              <w:pStyle w:val="a4"/>
              <w:numPr>
                <w:ilvl w:val="1"/>
                <w:numId w:val="3"/>
              </w:numPr>
              <w:ind w:left="426"/>
              <w:jc w:val="both"/>
            </w:pPr>
            <w:r>
              <w:t>Доступность досрочного погашения</w:t>
            </w:r>
          </w:p>
        </w:tc>
        <w:tc>
          <w:tcPr>
            <w:tcW w:w="7371" w:type="dxa"/>
          </w:tcPr>
          <w:p w:rsidR="00D97D0E" w:rsidRDefault="00AF7F42" w:rsidP="00C0669A">
            <w:pPr>
              <w:jc w:val="both"/>
            </w:pPr>
            <w:r>
              <w:t>Владелец</w:t>
            </w:r>
            <w:r w:rsidR="00D347C1">
              <w:t xml:space="preserve"> ЦФА</w:t>
            </w:r>
            <w:r>
              <w:t xml:space="preserve"> может подать заявку на досрочное погашение ЦФА в установленные сроки</w:t>
            </w:r>
            <w:r w:rsidR="00D347C1">
              <w:t>.</w:t>
            </w:r>
          </w:p>
        </w:tc>
      </w:tr>
      <w:tr w:rsidR="00EF79F5" w:rsidTr="00A74D98">
        <w:tc>
          <w:tcPr>
            <w:tcW w:w="2943" w:type="dxa"/>
            <w:shd w:val="clear" w:color="auto" w:fill="EAF1DD" w:themeFill="accent3" w:themeFillTint="33"/>
          </w:tcPr>
          <w:p w:rsidR="00EF79F5" w:rsidRDefault="00EF79F5" w:rsidP="00A74D98">
            <w:pPr>
              <w:pStyle w:val="a4"/>
              <w:numPr>
                <w:ilvl w:val="1"/>
                <w:numId w:val="3"/>
              </w:numPr>
              <w:ind w:left="426"/>
              <w:jc w:val="both"/>
            </w:pPr>
            <w:r>
              <w:t>Цена досрочного погашения</w:t>
            </w:r>
          </w:p>
        </w:tc>
        <w:tc>
          <w:tcPr>
            <w:tcW w:w="7371" w:type="dxa"/>
          </w:tcPr>
          <w:p w:rsidR="00EF79F5" w:rsidRDefault="000A4D48" w:rsidP="00D262D2">
            <w:pPr>
              <w:jc w:val="both"/>
            </w:pPr>
            <w:r>
              <w:t>75 000</w:t>
            </w:r>
            <w:r w:rsidR="00D867E8">
              <w:t xml:space="preserve"> рублей </w:t>
            </w:r>
            <w:r w:rsidR="00AF7F42" w:rsidRPr="00D262D2">
              <w:t xml:space="preserve">в случае, если владелец </w:t>
            </w:r>
            <w:r w:rsidR="00D262D2" w:rsidRPr="00D262D2">
              <w:t xml:space="preserve">не </w:t>
            </w:r>
            <w:r w:rsidR="00446CFE">
              <w:t>реализует</w:t>
            </w:r>
            <w:r w:rsidR="00AF7F42" w:rsidRPr="00D262D2">
              <w:t xml:space="preserve"> </w:t>
            </w:r>
            <w:r w:rsidR="00D262D2" w:rsidRPr="00D262D2">
              <w:t>право требования передачи ценных бумаг</w:t>
            </w:r>
            <w:r w:rsidR="00AF7F42">
              <w:rPr>
                <w:color w:val="FF0000"/>
              </w:rPr>
              <w:t xml:space="preserve"> </w:t>
            </w:r>
          </w:p>
        </w:tc>
      </w:tr>
      <w:tr w:rsidR="00EF79F5" w:rsidTr="00A74D98">
        <w:tc>
          <w:tcPr>
            <w:tcW w:w="2943" w:type="dxa"/>
            <w:shd w:val="clear" w:color="auto" w:fill="EAF1DD" w:themeFill="accent3" w:themeFillTint="33"/>
          </w:tcPr>
          <w:p w:rsidR="00EF79F5" w:rsidRDefault="0026374C" w:rsidP="00A74D98">
            <w:pPr>
              <w:pStyle w:val="a4"/>
              <w:numPr>
                <w:ilvl w:val="1"/>
                <w:numId w:val="3"/>
              </w:numPr>
              <w:ind w:left="426"/>
              <w:jc w:val="both"/>
            </w:pPr>
            <w:r>
              <w:t xml:space="preserve">Срок, в течение которого может быть реализовано право требовать передачи эмиссионных ценных бумаг </w:t>
            </w:r>
            <w:r w:rsidR="00EF79F5">
              <w:t>(в днях после осуществления выпуска ЦФА)</w:t>
            </w:r>
          </w:p>
        </w:tc>
        <w:tc>
          <w:tcPr>
            <w:tcW w:w="7371" w:type="dxa"/>
          </w:tcPr>
          <w:p w:rsidR="00EF79F5" w:rsidRDefault="00AF7F42" w:rsidP="00C0669A">
            <w:pPr>
              <w:jc w:val="both"/>
            </w:pPr>
            <w:r>
              <w:t xml:space="preserve">Владелец может подать заявку на досрочное погашение ЦФА в течение </w:t>
            </w:r>
            <w:r w:rsidR="00EC595B" w:rsidRPr="00676256">
              <w:rPr>
                <w:b/>
              </w:rPr>
              <w:t>18</w:t>
            </w:r>
            <w:r w:rsidR="000E72F6" w:rsidRPr="00676256">
              <w:rPr>
                <w:b/>
              </w:rPr>
              <w:t xml:space="preserve"> </w:t>
            </w:r>
            <w:r>
              <w:t>календарных дней с даты выпуска ЦФА</w:t>
            </w:r>
            <w:r w:rsidR="007A5A39">
              <w:t>.</w:t>
            </w:r>
          </w:p>
          <w:p w:rsidR="007A5A39" w:rsidRDefault="007A5A39" w:rsidP="00C0669A">
            <w:pPr>
              <w:jc w:val="both"/>
            </w:pPr>
          </w:p>
          <w:p w:rsidR="006D0188" w:rsidRPr="003413AD" w:rsidRDefault="003413AD" w:rsidP="003413AD">
            <w:pPr>
              <w:jc w:val="both"/>
              <w:rPr>
                <w:b/>
                <w:color w:val="FF0000"/>
              </w:rPr>
            </w:pPr>
            <w:r>
              <w:rPr>
                <w:b/>
              </w:rPr>
              <w:t>Досрочное погашение ЦФА проводится</w:t>
            </w:r>
            <w:r w:rsidR="007A5A39" w:rsidRPr="003413AD">
              <w:rPr>
                <w:b/>
              </w:rPr>
              <w:t xml:space="preserve"> в порядке, указанном в пункт</w:t>
            </w:r>
            <w:r w:rsidRPr="003413AD">
              <w:rPr>
                <w:b/>
              </w:rPr>
              <w:t>ах 2.15-2.23 Специальных условий Правил</w:t>
            </w:r>
          </w:p>
        </w:tc>
      </w:tr>
      <w:tr w:rsidR="00EF79F5" w:rsidTr="00A74D98">
        <w:tc>
          <w:tcPr>
            <w:tcW w:w="2943" w:type="dxa"/>
            <w:shd w:val="clear" w:color="auto" w:fill="EAF1DD" w:themeFill="accent3" w:themeFillTint="33"/>
          </w:tcPr>
          <w:p w:rsidR="00EF79F5" w:rsidRDefault="00EF79F5" w:rsidP="00A74D98">
            <w:pPr>
              <w:pStyle w:val="a4"/>
              <w:numPr>
                <w:ilvl w:val="1"/>
                <w:numId w:val="3"/>
              </w:numPr>
              <w:ind w:left="426"/>
              <w:jc w:val="both"/>
            </w:pPr>
            <w:r>
              <w:t xml:space="preserve">Срок рассмотрения </w:t>
            </w:r>
            <w:r w:rsidR="00EA4E30">
              <w:t xml:space="preserve">Эмитентом </w:t>
            </w:r>
            <w:r>
              <w:t>обращения на досрочное погашение</w:t>
            </w:r>
          </w:p>
        </w:tc>
        <w:tc>
          <w:tcPr>
            <w:tcW w:w="7371" w:type="dxa"/>
          </w:tcPr>
          <w:p w:rsidR="00EF79F5" w:rsidRDefault="000A4D48" w:rsidP="007A5A39">
            <w:pPr>
              <w:jc w:val="both"/>
            </w:pPr>
            <w:r>
              <w:t>1</w:t>
            </w:r>
            <w:r w:rsidR="004D1FAC">
              <w:t xml:space="preserve"> рабочий день</w:t>
            </w:r>
            <w:r w:rsidR="00D867E8">
              <w:t xml:space="preserve"> </w:t>
            </w:r>
          </w:p>
        </w:tc>
      </w:tr>
      <w:tr w:rsidR="00EF79F5" w:rsidRPr="00C1340F" w:rsidTr="00A74D98">
        <w:tc>
          <w:tcPr>
            <w:tcW w:w="10314" w:type="dxa"/>
            <w:gridSpan w:val="2"/>
            <w:shd w:val="clear" w:color="auto" w:fill="C2D69B" w:themeFill="accent3" w:themeFillTint="99"/>
          </w:tcPr>
          <w:p w:rsidR="00EF79F5" w:rsidRPr="00023A0B" w:rsidRDefault="00023A0B" w:rsidP="00A74D98">
            <w:pPr>
              <w:pStyle w:val="a4"/>
              <w:numPr>
                <w:ilvl w:val="0"/>
                <w:numId w:val="3"/>
              </w:numPr>
              <w:ind w:left="426"/>
              <w:jc w:val="both"/>
              <w:rPr>
                <w:b/>
              </w:rPr>
            </w:pPr>
            <w:r>
              <w:rPr>
                <w:b/>
              </w:rPr>
              <w:t xml:space="preserve"> </w:t>
            </w:r>
            <w:r w:rsidR="00AF7F42" w:rsidRPr="00023A0B">
              <w:rPr>
                <w:b/>
              </w:rPr>
              <w:t>Последствия приобретения ЦФА лицом, выпустившим ЦФА</w:t>
            </w:r>
          </w:p>
        </w:tc>
      </w:tr>
      <w:tr w:rsidR="00EF79F5" w:rsidTr="00A74D98">
        <w:tc>
          <w:tcPr>
            <w:tcW w:w="2943" w:type="dxa"/>
            <w:shd w:val="clear" w:color="auto" w:fill="EAF1DD" w:themeFill="accent3" w:themeFillTint="33"/>
          </w:tcPr>
          <w:p w:rsidR="00EF79F5" w:rsidRDefault="00C1340F" w:rsidP="00D347C1">
            <w:pPr>
              <w:pStyle w:val="a4"/>
              <w:numPr>
                <w:ilvl w:val="1"/>
                <w:numId w:val="3"/>
              </w:numPr>
              <w:ind w:left="426"/>
              <w:jc w:val="both"/>
            </w:pPr>
            <w:r>
              <w:t xml:space="preserve">Срок в днях, по </w:t>
            </w:r>
            <w:r>
              <w:lastRenderedPageBreak/>
              <w:t>истечении которог</w:t>
            </w:r>
            <w:r w:rsidR="00FE51A3">
              <w:t xml:space="preserve">о ЦФА, </w:t>
            </w:r>
            <w:r w:rsidR="00D347C1">
              <w:t>выкупленные Эмитентом</w:t>
            </w:r>
            <w:r>
              <w:t>, будут погашены</w:t>
            </w:r>
          </w:p>
        </w:tc>
        <w:tc>
          <w:tcPr>
            <w:tcW w:w="7371" w:type="dxa"/>
          </w:tcPr>
          <w:p w:rsidR="00EF79F5" w:rsidRDefault="00EF2358" w:rsidP="00D347C1">
            <w:pPr>
              <w:jc w:val="both"/>
            </w:pPr>
            <w:r w:rsidRPr="00EF2358">
              <w:lastRenderedPageBreak/>
              <w:t xml:space="preserve">Записи о </w:t>
            </w:r>
            <w:r>
              <w:t>ЦФА</w:t>
            </w:r>
            <w:r w:rsidRPr="00EF2358">
              <w:t xml:space="preserve"> не погашаются в случае, если обладателем </w:t>
            </w:r>
            <w:r>
              <w:t xml:space="preserve">ЦФА </w:t>
            </w:r>
            <w:r w:rsidRPr="00EF2358">
              <w:t xml:space="preserve"> </w:t>
            </w:r>
            <w:r w:rsidR="005E7470">
              <w:t xml:space="preserve">становится </w:t>
            </w:r>
            <w:r>
              <w:lastRenderedPageBreak/>
              <w:t xml:space="preserve">их Эмитент. </w:t>
            </w:r>
            <w:r w:rsidRPr="00EF2358">
              <w:t>При этом</w:t>
            </w:r>
            <w:r w:rsidR="00FE51A3">
              <w:t>,</w:t>
            </w:r>
            <w:r w:rsidRPr="00EF2358">
              <w:t xml:space="preserve"> по истечении </w:t>
            </w:r>
            <w:r w:rsidR="00D347C1">
              <w:t>30 календарных дней</w:t>
            </w:r>
            <w:r w:rsidRPr="00EF2358">
              <w:t xml:space="preserve"> со дня, когда </w:t>
            </w:r>
            <w:r>
              <w:t>Эмитент ЦФА стал</w:t>
            </w:r>
            <w:r w:rsidRPr="00EF2358">
              <w:t xml:space="preserve"> их обладателем, запись о таких </w:t>
            </w:r>
            <w:r>
              <w:t xml:space="preserve">ЦФА </w:t>
            </w:r>
            <w:r w:rsidRPr="00EF2358">
              <w:t xml:space="preserve"> должна быть погашена, если до истечения этого срока </w:t>
            </w:r>
            <w:r w:rsidR="00FE51A3">
              <w:t>Эмитент не перестал</w:t>
            </w:r>
            <w:r w:rsidRPr="00EF2358">
              <w:t xml:space="preserve"> быть их обладателем</w:t>
            </w:r>
            <w:r w:rsidR="00FE51A3">
              <w:t>.</w:t>
            </w:r>
          </w:p>
        </w:tc>
      </w:tr>
      <w:tr w:rsidR="00EA4E30" w:rsidTr="00A74D98">
        <w:tc>
          <w:tcPr>
            <w:tcW w:w="10314" w:type="dxa"/>
            <w:gridSpan w:val="2"/>
            <w:shd w:val="clear" w:color="auto" w:fill="C2D69B" w:themeFill="accent3" w:themeFillTint="99"/>
          </w:tcPr>
          <w:p w:rsidR="00EA4E30" w:rsidRPr="00023A0B" w:rsidRDefault="00EA4E30" w:rsidP="00023A0B">
            <w:pPr>
              <w:pStyle w:val="a4"/>
              <w:numPr>
                <w:ilvl w:val="0"/>
                <w:numId w:val="3"/>
              </w:numPr>
              <w:jc w:val="both"/>
              <w:rPr>
                <w:b/>
              </w:rPr>
            </w:pPr>
            <w:r w:rsidRPr="00023A0B">
              <w:rPr>
                <w:b/>
              </w:rPr>
              <w:lastRenderedPageBreak/>
              <w:t>Обязательная информация</w:t>
            </w:r>
          </w:p>
        </w:tc>
      </w:tr>
      <w:tr w:rsidR="00EF79F5" w:rsidTr="00A74D98">
        <w:tc>
          <w:tcPr>
            <w:tcW w:w="2943" w:type="dxa"/>
            <w:shd w:val="clear" w:color="auto" w:fill="EAF1DD" w:themeFill="accent3" w:themeFillTint="33"/>
          </w:tcPr>
          <w:p w:rsidR="00EF79F5" w:rsidRDefault="0026374C" w:rsidP="00A74D98">
            <w:pPr>
              <w:pStyle w:val="a4"/>
              <w:numPr>
                <w:ilvl w:val="1"/>
                <w:numId w:val="3"/>
              </w:numPr>
              <w:ind w:left="426"/>
              <w:jc w:val="both"/>
            </w:pPr>
            <w:r>
              <w:t>Файл Решение о выпуске эмиссионных ценных бумаг</w:t>
            </w:r>
          </w:p>
        </w:tc>
        <w:tc>
          <w:tcPr>
            <w:tcW w:w="7371" w:type="dxa"/>
          </w:tcPr>
          <w:p w:rsidR="00EF79F5" w:rsidRDefault="00EF79F5" w:rsidP="00C0669A">
            <w:pPr>
              <w:jc w:val="both"/>
            </w:pPr>
          </w:p>
        </w:tc>
      </w:tr>
      <w:tr w:rsidR="00EF79F5" w:rsidTr="00A74D98">
        <w:tc>
          <w:tcPr>
            <w:tcW w:w="2943" w:type="dxa"/>
            <w:shd w:val="clear" w:color="auto" w:fill="EAF1DD" w:themeFill="accent3" w:themeFillTint="33"/>
          </w:tcPr>
          <w:p w:rsidR="00EF79F5" w:rsidRDefault="0026374C" w:rsidP="00A74D98">
            <w:pPr>
              <w:pStyle w:val="a4"/>
              <w:numPr>
                <w:ilvl w:val="1"/>
                <w:numId w:val="3"/>
              </w:numPr>
              <w:ind w:left="426"/>
              <w:jc w:val="both"/>
            </w:pPr>
            <w:r>
              <w:t>Файл Информация о наличии преимущественного права</w:t>
            </w:r>
            <w:r w:rsidR="00C16007">
              <w:t xml:space="preserve"> приобретения ценных бумаг и порядке его реализации</w:t>
            </w:r>
          </w:p>
        </w:tc>
        <w:tc>
          <w:tcPr>
            <w:tcW w:w="7371" w:type="dxa"/>
          </w:tcPr>
          <w:p w:rsidR="00EF79F5" w:rsidRDefault="00AF7F42" w:rsidP="00C0669A">
            <w:pPr>
              <w:jc w:val="both"/>
            </w:pPr>
            <w:r>
              <w:t xml:space="preserve">Уставом   АО «Таурус» не предусмотрено преимущественное право </w:t>
            </w:r>
            <w:r w:rsidRPr="00AF7F42">
              <w:t>приобретения его акционерами акций, отчуждаемых по возмездным сделкам другими акционерами</w:t>
            </w:r>
            <w:r>
              <w:t xml:space="preserve">.  </w:t>
            </w:r>
          </w:p>
        </w:tc>
      </w:tr>
    </w:tbl>
    <w:p w:rsidR="00FB4353" w:rsidRDefault="00FB4353"/>
    <w:sectPr w:rsidR="00FB4353" w:rsidSect="00516C7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D66F5"/>
    <w:multiLevelType w:val="hybridMultilevel"/>
    <w:tmpl w:val="E87C8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BF4999"/>
    <w:multiLevelType w:val="multilevel"/>
    <w:tmpl w:val="4E2EBF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C9A72D1"/>
    <w:multiLevelType w:val="hybridMultilevel"/>
    <w:tmpl w:val="0E66A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AD20B8"/>
    <w:multiLevelType w:val="hybridMultilevel"/>
    <w:tmpl w:val="FBC2C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9B631E"/>
    <w:multiLevelType w:val="multilevel"/>
    <w:tmpl w:val="53CE9468"/>
    <w:lvl w:ilvl="0">
      <w:start w:val="1"/>
      <w:numFmt w:val="decimal"/>
      <w:lvlText w:val="%1."/>
      <w:lvlJc w:val="left"/>
      <w:pPr>
        <w:tabs>
          <w:tab w:val="num" w:pos="0"/>
        </w:tabs>
        <w:ind w:left="1352" w:hanging="360"/>
      </w:pPr>
      <w:rPr>
        <w:b/>
      </w:rPr>
    </w:lvl>
    <w:lvl w:ilvl="1">
      <w:start w:val="1"/>
      <w:numFmt w:val="decimal"/>
      <w:lvlText w:val="%1.%2."/>
      <w:lvlJc w:val="left"/>
      <w:pPr>
        <w:tabs>
          <w:tab w:val="num" w:pos="0"/>
        </w:tabs>
        <w:ind w:left="-567" w:firstLine="567"/>
      </w:pPr>
      <w:rPr>
        <w:b w:val="0"/>
      </w:rPr>
    </w:lvl>
    <w:lvl w:ilvl="2">
      <w:start w:val="1"/>
      <w:numFmt w:val="decimal"/>
      <w:lvlText w:val="%1.%2.%3."/>
      <w:lvlJc w:val="left"/>
      <w:pPr>
        <w:tabs>
          <w:tab w:val="num" w:pos="-1843"/>
        </w:tabs>
        <w:ind w:left="930" w:hanging="504"/>
      </w:pPr>
      <w:rPr>
        <w:i w:val="0"/>
      </w:r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D0E"/>
    <w:rsid w:val="00001678"/>
    <w:rsid w:val="00023A0B"/>
    <w:rsid w:val="00033AD3"/>
    <w:rsid w:val="00061C9E"/>
    <w:rsid w:val="000707D3"/>
    <w:rsid w:val="00071B3E"/>
    <w:rsid w:val="00082AB1"/>
    <w:rsid w:val="00093AD5"/>
    <w:rsid w:val="000A4D48"/>
    <w:rsid w:val="000A6A55"/>
    <w:rsid w:val="000E72F6"/>
    <w:rsid w:val="00105BE0"/>
    <w:rsid w:val="001165C0"/>
    <w:rsid w:val="00181684"/>
    <w:rsid w:val="001859F3"/>
    <w:rsid w:val="0020744E"/>
    <w:rsid w:val="00220F63"/>
    <w:rsid w:val="00246F83"/>
    <w:rsid w:val="00263188"/>
    <w:rsid w:val="0026374C"/>
    <w:rsid w:val="002A50CB"/>
    <w:rsid w:val="002E395F"/>
    <w:rsid w:val="002F4EF3"/>
    <w:rsid w:val="00307D1E"/>
    <w:rsid w:val="0032180B"/>
    <w:rsid w:val="003413AD"/>
    <w:rsid w:val="00364CE6"/>
    <w:rsid w:val="00412217"/>
    <w:rsid w:val="00434A58"/>
    <w:rsid w:val="00446CFE"/>
    <w:rsid w:val="004A54E7"/>
    <w:rsid w:val="004C53A7"/>
    <w:rsid w:val="004D1FAC"/>
    <w:rsid w:val="004E1889"/>
    <w:rsid w:val="004F5CDA"/>
    <w:rsid w:val="00516C76"/>
    <w:rsid w:val="00543DDE"/>
    <w:rsid w:val="005474B9"/>
    <w:rsid w:val="00572F88"/>
    <w:rsid w:val="005B7D77"/>
    <w:rsid w:val="005C23D2"/>
    <w:rsid w:val="005C3E70"/>
    <w:rsid w:val="005D54CC"/>
    <w:rsid w:val="005E4D84"/>
    <w:rsid w:val="005E7470"/>
    <w:rsid w:val="00610F2F"/>
    <w:rsid w:val="00611898"/>
    <w:rsid w:val="0066584A"/>
    <w:rsid w:val="00676256"/>
    <w:rsid w:val="006A4C03"/>
    <w:rsid w:val="006C44C4"/>
    <w:rsid w:val="006D0188"/>
    <w:rsid w:val="006E66A8"/>
    <w:rsid w:val="00704895"/>
    <w:rsid w:val="00721488"/>
    <w:rsid w:val="0072241A"/>
    <w:rsid w:val="0072641D"/>
    <w:rsid w:val="00744F95"/>
    <w:rsid w:val="00754576"/>
    <w:rsid w:val="007779FE"/>
    <w:rsid w:val="007A5A39"/>
    <w:rsid w:val="007B5A06"/>
    <w:rsid w:val="007B7ED2"/>
    <w:rsid w:val="0082093A"/>
    <w:rsid w:val="0082626B"/>
    <w:rsid w:val="00835B0F"/>
    <w:rsid w:val="008739CF"/>
    <w:rsid w:val="008C1488"/>
    <w:rsid w:val="008C16C8"/>
    <w:rsid w:val="008E5CAC"/>
    <w:rsid w:val="00945E1A"/>
    <w:rsid w:val="00982666"/>
    <w:rsid w:val="009D4FB7"/>
    <w:rsid w:val="009D536D"/>
    <w:rsid w:val="009D57F2"/>
    <w:rsid w:val="009E6502"/>
    <w:rsid w:val="00A01EF1"/>
    <w:rsid w:val="00A04B51"/>
    <w:rsid w:val="00A1086D"/>
    <w:rsid w:val="00A47434"/>
    <w:rsid w:val="00A54A0A"/>
    <w:rsid w:val="00A74D98"/>
    <w:rsid w:val="00A84D6E"/>
    <w:rsid w:val="00A957A8"/>
    <w:rsid w:val="00AA63C1"/>
    <w:rsid w:val="00AF0E6E"/>
    <w:rsid w:val="00AF7F42"/>
    <w:rsid w:val="00B43FE8"/>
    <w:rsid w:val="00B508C5"/>
    <w:rsid w:val="00BB489A"/>
    <w:rsid w:val="00BD4E88"/>
    <w:rsid w:val="00C0669A"/>
    <w:rsid w:val="00C1340F"/>
    <w:rsid w:val="00C16007"/>
    <w:rsid w:val="00C3475A"/>
    <w:rsid w:val="00C37ECC"/>
    <w:rsid w:val="00C70B23"/>
    <w:rsid w:val="00C80699"/>
    <w:rsid w:val="00C91ED2"/>
    <w:rsid w:val="00CF158A"/>
    <w:rsid w:val="00D20B06"/>
    <w:rsid w:val="00D262D2"/>
    <w:rsid w:val="00D347C1"/>
    <w:rsid w:val="00D867E8"/>
    <w:rsid w:val="00D938C7"/>
    <w:rsid w:val="00D97D0E"/>
    <w:rsid w:val="00DB2A45"/>
    <w:rsid w:val="00DB2D36"/>
    <w:rsid w:val="00DD306D"/>
    <w:rsid w:val="00DE1085"/>
    <w:rsid w:val="00E06650"/>
    <w:rsid w:val="00E40134"/>
    <w:rsid w:val="00E5461B"/>
    <w:rsid w:val="00E60C61"/>
    <w:rsid w:val="00E86469"/>
    <w:rsid w:val="00EA4E30"/>
    <w:rsid w:val="00EC18D4"/>
    <w:rsid w:val="00EC595B"/>
    <w:rsid w:val="00ED440E"/>
    <w:rsid w:val="00EE4FD0"/>
    <w:rsid w:val="00EF2358"/>
    <w:rsid w:val="00EF79F5"/>
    <w:rsid w:val="00F12AA8"/>
    <w:rsid w:val="00F20965"/>
    <w:rsid w:val="00F2573F"/>
    <w:rsid w:val="00FA2326"/>
    <w:rsid w:val="00FB1E32"/>
    <w:rsid w:val="00FB4353"/>
    <w:rsid w:val="00FD0DD6"/>
    <w:rsid w:val="00FE51A3"/>
    <w:rsid w:val="00FF4ABC"/>
    <w:rsid w:val="00FF6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DE9B0-83C3-478B-8E67-30C8ADBD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6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7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584A"/>
    <w:pPr>
      <w:ind w:left="720"/>
      <w:contextualSpacing/>
    </w:pPr>
  </w:style>
  <w:style w:type="character" w:styleId="a5">
    <w:name w:val="Hyperlink"/>
    <w:basedOn w:val="a0"/>
    <w:uiPriority w:val="99"/>
    <w:unhideWhenUsed/>
    <w:rsid w:val="0066584A"/>
    <w:rPr>
      <w:color w:val="0000FF" w:themeColor="hyperlink"/>
      <w:u w:val="single"/>
    </w:rPr>
  </w:style>
  <w:style w:type="character" w:styleId="a6">
    <w:name w:val="annotation reference"/>
    <w:basedOn w:val="a0"/>
    <w:uiPriority w:val="99"/>
    <w:semiHidden/>
    <w:unhideWhenUsed/>
    <w:rsid w:val="002E395F"/>
    <w:rPr>
      <w:sz w:val="16"/>
      <w:szCs w:val="16"/>
    </w:rPr>
  </w:style>
  <w:style w:type="paragraph" w:styleId="a7">
    <w:name w:val="annotation text"/>
    <w:basedOn w:val="a"/>
    <w:link w:val="a8"/>
    <w:uiPriority w:val="99"/>
    <w:semiHidden/>
    <w:unhideWhenUsed/>
    <w:rsid w:val="002E395F"/>
    <w:pPr>
      <w:spacing w:line="240" w:lineRule="auto"/>
    </w:pPr>
    <w:rPr>
      <w:sz w:val="20"/>
      <w:szCs w:val="20"/>
    </w:rPr>
  </w:style>
  <w:style w:type="character" w:customStyle="1" w:styleId="a8">
    <w:name w:val="Текст примечания Знак"/>
    <w:basedOn w:val="a0"/>
    <w:link w:val="a7"/>
    <w:uiPriority w:val="99"/>
    <w:semiHidden/>
    <w:rsid w:val="002E395F"/>
    <w:rPr>
      <w:sz w:val="20"/>
      <w:szCs w:val="20"/>
    </w:rPr>
  </w:style>
  <w:style w:type="paragraph" w:styleId="a9">
    <w:name w:val="annotation subject"/>
    <w:basedOn w:val="a7"/>
    <w:next w:val="a7"/>
    <w:link w:val="aa"/>
    <w:uiPriority w:val="99"/>
    <w:semiHidden/>
    <w:unhideWhenUsed/>
    <w:rsid w:val="002E395F"/>
    <w:rPr>
      <w:b/>
      <w:bCs/>
    </w:rPr>
  </w:style>
  <w:style w:type="character" w:customStyle="1" w:styleId="aa">
    <w:name w:val="Тема примечания Знак"/>
    <w:basedOn w:val="a8"/>
    <w:link w:val="a9"/>
    <w:uiPriority w:val="99"/>
    <w:semiHidden/>
    <w:rsid w:val="002E395F"/>
    <w:rPr>
      <w:b/>
      <w:bCs/>
      <w:sz w:val="20"/>
      <w:szCs w:val="20"/>
    </w:rPr>
  </w:style>
  <w:style w:type="paragraph" w:styleId="ab">
    <w:name w:val="Balloon Text"/>
    <w:basedOn w:val="a"/>
    <w:link w:val="ac"/>
    <w:uiPriority w:val="99"/>
    <w:semiHidden/>
    <w:unhideWhenUsed/>
    <w:rsid w:val="002E395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E395F"/>
    <w:rPr>
      <w:rFonts w:ascii="Segoe UI" w:hAnsi="Segoe UI" w:cs="Segoe UI"/>
      <w:sz w:val="18"/>
      <w:szCs w:val="18"/>
    </w:rPr>
  </w:style>
  <w:style w:type="paragraph" w:styleId="ad">
    <w:name w:val="Normal (Web)"/>
    <w:basedOn w:val="a"/>
    <w:uiPriority w:val="99"/>
    <w:semiHidden/>
    <w:unhideWhenUsed/>
    <w:rsid w:val="002E39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7582">
      <w:bodyDiv w:val="1"/>
      <w:marLeft w:val="0"/>
      <w:marRight w:val="0"/>
      <w:marTop w:val="0"/>
      <w:marBottom w:val="0"/>
      <w:divBdr>
        <w:top w:val="none" w:sz="0" w:space="0" w:color="auto"/>
        <w:left w:val="none" w:sz="0" w:space="0" w:color="auto"/>
        <w:bottom w:val="none" w:sz="0" w:space="0" w:color="auto"/>
        <w:right w:val="none" w:sz="0" w:space="0" w:color="auto"/>
      </w:divBdr>
    </w:div>
    <w:div w:id="1517890118">
      <w:bodyDiv w:val="1"/>
      <w:marLeft w:val="0"/>
      <w:marRight w:val="0"/>
      <w:marTop w:val="0"/>
      <w:marBottom w:val="0"/>
      <w:divBdr>
        <w:top w:val="none" w:sz="0" w:space="0" w:color="auto"/>
        <w:left w:val="none" w:sz="0" w:space="0" w:color="auto"/>
        <w:bottom w:val="none" w:sz="0" w:space="0" w:color="auto"/>
        <w:right w:val="none" w:sz="0" w:space="0" w:color="auto"/>
      </w:divBdr>
    </w:div>
    <w:div w:id="21227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rz.ru" TargetMode="External"/><Relationship Id="rId3" Type="http://schemas.openxmlformats.org/officeDocument/2006/relationships/styles" Target="styles.xml"/><Relationship Id="rId7" Type="http://schemas.openxmlformats.org/officeDocument/2006/relationships/hyperlink" Target="http://www.cfa.mrz.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rz.ru/company/raskrytie-informatsii-o-platforme-tsf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E076B-8A08-46DD-AD82-38D58C032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1561</Words>
  <Characters>8904</Characters>
  <Application>Microsoft Office Word</Application>
  <DocSecurity>4</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Semynina</dc:creator>
  <cp:lastModifiedBy>Cheglatonova Anastasya</cp:lastModifiedBy>
  <cp:revision>2</cp:revision>
  <cp:lastPrinted>2025-08-12T07:15:00Z</cp:lastPrinted>
  <dcterms:created xsi:type="dcterms:W3CDTF">2025-08-28T14:35:00Z</dcterms:created>
  <dcterms:modified xsi:type="dcterms:W3CDTF">2025-08-28T14:35:00Z</dcterms:modified>
</cp:coreProperties>
</file>